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E0C5C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E0C5C">
        <w:rPr>
          <w:b/>
          <w:szCs w:val="24"/>
        </w:rPr>
        <w:t>О.Е. 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r w:rsidR="00883194">
        <w:rPr>
          <w:b/>
          <w:bCs/>
        </w:rPr>
        <w:t>закрытого</w:t>
      </w:r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883194" w:rsidRDefault="00883194" w:rsidP="0088319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E06463">
        <w:rPr>
          <w:b/>
        </w:rPr>
        <w:t xml:space="preserve">на закупку Сервиса по предотвращению </w:t>
      </w:r>
      <w:r>
        <w:rPr>
          <w:b/>
        </w:rPr>
        <w:t xml:space="preserve">транзакционного </w:t>
      </w:r>
      <w:r w:rsidRPr="00E06463">
        <w:rPr>
          <w:b/>
        </w:rPr>
        <w:t xml:space="preserve">мошенничества </w:t>
      </w:r>
    </w:p>
    <w:p w:rsidR="00883194" w:rsidRPr="00E06463" w:rsidRDefault="00883194" w:rsidP="0088319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E06463">
        <w:rPr>
          <w:b/>
        </w:rPr>
        <w:t>для ПАО «МТС-Банк»</w:t>
      </w: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28B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28B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1F328B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1F328B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1F328B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1F328B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1F328B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E6607F" w:rsidRPr="00A154C0" w:rsidRDefault="00F771DB" w:rsidP="00262A34">
      <w:pPr>
        <w:spacing w:after="0" w:line="240" w:lineRule="auto"/>
        <w:jc w:val="both"/>
        <w:rPr>
          <w:b/>
          <w:bCs/>
          <w:i/>
          <w:iCs/>
          <w:color w:val="000000"/>
          <w:w w:val="108"/>
          <w:sz w:val="22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883194">
        <w:rPr>
          <w:szCs w:val="24"/>
        </w:rPr>
        <w:t>закрытого</w:t>
      </w:r>
      <w:r w:rsidR="00E805CC" w:rsidRPr="00D81F5B">
        <w:rPr>
          <w:szCs w:val="24"/>
        </w:rPr>
        <w:t xml:space="preserve">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</w:t>
      </w:r>
      <w:r w:rsidR="00883194">
        <w:rPr>
          <w:b/>
          <w:szCs w:val="24"/>
        </w:rPr>
        <w:t xml:space="preserve">поставку Сервиса по предотвращению транзакционного мошенничества для </w:t>
      </w:r>
      <w:r w:rsidR="00A154C0" w:rsidRPr="00C5088B">
        <w:rPr>
          <w:b/>
          <w:szCs w:val="24"/>
        </w:rPr>
        <w:t>ПАО «МТС-Банк»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г.Москва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8C35EB">
      <w:pPr>
        <w:pStyle w:val="20"/>
        <w:numPr>
          <w:ilvl w:val="2"/>
          <w:numId w:val="28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</w:t>
      </w:r>
      <w:r w:rsidR="00883194">
        <w:rPr>
          <w:b/>
          <w:i/>
          <w:szCs w:val="24"/>
        </w:rPr>
        <w:t>8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883194">
        <w:rPr>
          <w:b/>
          <w:i/>
          <w:szCs w:val="24"/>
        </w:rPr>
        <w:t>18.10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E8139A">
      <w:pPr>
        <w:numPr>
          <w:ilvl w:val="0"/>
          <w:numId w:val="26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A154C0" w:rsidRDefault="00F771DB" w:rsidP="00262A34">
      <w:pPr>
        <w:spacing w:after="0" w:line="240" w:lineRule="auto"/>
        <w:jc w:val="both"/>
        <w:rPr>
          <w:b/>
          <w:bCs/>
          <w:i/>
          <w:iCs/>
          <w:color w:val="000000"/>
          <w:w w:val="108"/>
          <w:sz w:val="22"/>
        </w:rPr>
      </w:pPr>
      <w:bookmarkStart w:id="27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723252">
        <w:rPr>
          <w:szCs w:val="24"/>
        </w:rPr>
        <w:t xml:space="preserve">на </w:t>
      </w:r>
      <w:r w:rsidR="00723252">
        <w:rPr>
          <w:b/>
          <w:szCs w:val="24"/>
        </w:rPr>
        <w:t xml:space="preserve">поставку Сервиса по предотвращению транзакционного мошенничества для </w:t>
      </w:r>
      <w:r w:rsidR="00723252" w:rsidRPr="00C5088B">
        <w:rPr>
          <w:b/>
          <w:szCs w:val="24"/>
        </w:rPr>
        <w:t>ПАО «МТС-Банк»</w:t>
      </w:r>
      <w:r w:rsidR="00723252">
        <w:rPr>
          <w:b/>
          <w:szCs w:val="24"/>
        </w:rPr>
        <w:t xml:space="preserve">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23252">
        <w:t>согласно п.4 Технического задания</w:t>
      </w:r>
      <w:r>
        <w:rPr>
          <w:szCs w:val="24"/>
        </w:rPr>
        <w:t>;</w:t>
      </w:r>
    </w:p>
    <w:p w:rsidR="00A154C0" w:rsidRPr="00B304D1" w:rsidRDefault="00A154C0" w:rsidP="00A154C0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/>
          <w:bCs/>
        </w:rPr>
      </w:pPr>
      <w:r w:rsidRPr="00B304D1">
        <w:rPr>
          <w:b/>
          <w:bCs/>
        </w:rPr>
        <w:t xml:space="preserve">Условия расчетов: </w:t>
      </w:r>
      <w:r w:rsidRPr="00B304D1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304D1">
        <w:t>т.ч</w:t>
      </w:r>
      <w:proofErr w:type="spellEnd"/>
      <w:r w:rsidRPr="00B304D1">
        <w:t>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</w:t>
      </w:r>
    </w:p>
    <w:p w:rsidR="00B304D1" w:rsidRDefault="00B304D1" w:rsidP="00B304D1">
      <w:pPr>
        <w:spacing w:after="0" w:line="240" w:lineRule="auto"/>
        <w:ind w:left="851"/>
        <w:jc w:val="both"/>
        <w:rPr>
          <w:rFonts w:eastAsia="Calibri"/>
          <w:lang w:val="en-US"/>
        </w:rPr>
      </w:pP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</w:t>
      </w:r>
      <w:r w:rsidRPr="00B304D1">
        <w:rPr>
          <w:rFonts w:eastAsia="Calibri"/>
        </w:rPr>
        <w:lastRenderedPageBreak/>
        <w:t>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D56999" w:rsidRDefault="00B304D1" w:rsidP="00B304D1">
      <w:pPr>
        <w:spacing w:after="0" w:line="240" w:lineRule="auto"/>
        <w:ind w:left="851"/>
        <w:jc w:val="both"/>
        <w:rPr>
          <w:b/>
          <w:bCs/>
          <w:highlight w:val="yellow"/>
        </w:rPr>
      </w:pPr>
      <w:r w:rsidRPr="00D00CF6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D00CF6">
        <w:rPr>
          <w:rFonts w:eastAsia="Calibri"/>
        </w:rPr>
        <w:t>омбинацию вышеперечисленных способов обеспечения обязательств</w:t>
      </w:r>
    </w:p>
    <w:p w:rsidR="00A154C0" w:rsidRPr="008974F6" w:rsidRDefault="00A154C0" w:rsidP="00A154C0">
      <w:pPr>
        <w:spacing w:after="0" w:line="240" w:lineRule="auto"/>
        <w:ind w:left="851"/>
        <w:jc w:val="both"/>
      </w:pPr>
    </w:p>
    <w:p w:rsidR="0067558F" w:rsidRPr="0067558F" w:rsidRDefault="00F771DB" w:rsidP="0067558F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974F6" w:rsidRPr="0067558F">
        <w:rPr>
          <w:bCs/>
        </w:rPr>
        <w:t xml:space="preserve">оказание услуг осуществляется силами Поставщика </w:t>
      </w:r>
      <w:r w:rsidR="00723252" w:rsidRPr="00E06463">
        <w:rPr>
          <w:szCs w:val="24"/>
        </w:rPr>
        <w:t>на собственной территории и на территории П</w:t>
      </w:r>
      <w:r w:rsidR="00723252">
        <w:rPr>
          <w:szCs w:val="24"/>
        </w:rPr>
        <w:t>АО «МТС-Банк» по следующему адресу</w:t>
      </w:r>
      <w:r w:rsidR="00723252" w:rsidRPr="00E06463">
        <w:rPr>
          <w:szCs w:val="24"/>
        </w:rPr>
        <w:t xml:space="preserve">: </w:t>
      </w:r>
      <w:r w:rsidR="00723252" w:rsidRPr="00E06463">
        <w:rPr>
          <w:bCs/>
          <w:szCs w:val="24"/>
        </w:rPr>
        <w:t>115432, Москва г, пр-т Андропова, д. 18 корп.1</w:t>
      </w:r>
      <w:r w:rsidR="00723252">
        <w:rPr>
          <w:bCs/>
          <w:szCs w:val="24"/>
        </w:rPr>
        <w:t xml:space="preserve"> </w:t>
      </w:r>
      <w:r w:rsidR="0067558F" w:rsidRPr="0067558F">
        <w:rPr>
          <w:bCs/>
        </w:rPr>
        <w:t>в установленный в Техническом задании срок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E8139A">
      <w:pPr>
        <w:numPr>
          <w:ilvl w:val="0"/>
          <w:numId w:val="26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BA08E8" w:rsidRDefault="00047AF2" w:rsidP="00E8139A">
      <w:pPr>
        <w:pStyle w:val="26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67558F" w:rsidRPr="00B304D1" w:rsidRDefault="0067558F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304D1">
        <w:rPr>
          <w:sz w:val="24"/>
          <w:szCs w:val="24"/>
        </w:rPr>
        <w:t xml:space="preserve">должна иметь доказанный положительный опыт </w:t>
      </w:r>
      <w:r w:rsidR="00742107" w:rsidRPr="00B304D1">
        <w:rPr>
          <w:rFonts w:eastAsia="Times New Roman"/>
          <w:sz w:val="24"/>
          <w:szCs w:val="24"/>
          <w:lang w:eastAsia="en-US"/>
        </w:rPr>
        <w:t xml:space="preserve">внедрения сервисов/систем </w:t>
      </w:r>
      <w:proofErr w:type="spellStart"/>
      <w:r w:rsidR="00742107" w:rsidRPr="00B304D1">
        <w:rPr>
          <w:rFonts w:eastAsia="Times New Roman"/>
          <w:sz w:val="24"/>
          <w:szCs w:val="24"/>
          <w:lang w:eastAsia="en-US"/>
        </w:rPr>
        <w:t>фрод</w:t>
      </w:r>
      <w:proofErr w:type="spellEnd"/>
      <w:r w:rsidR="00742107" w:rsidRPr="00B304D1">
        <w:rPr>
          <w:rFonts w:eastAsia="Times New Roman"/>
          <w:sz w:val="24"/>
          <w:szCs w:val="24"/>
          <w:lang w:eastAsia="en-US"/>
        </w:rPr>
        <w:t>-мониторинга платежных транзакций</w:t>
      </w:r>
      <w:r w:rsidR="00B304D1" w:rsidRPr="00B304D1">
        <w:rPr>
          <w:rFonts w:eastAsia="Times New Roman"/>
          <w:sz w:val="24"/>
          <w:szCs w:val="24"/>
          <w:lang w:eastAsia="en-US"/>
        </w:rPr>
        <w:t xml:space="preserve"> за последние 5 лет</w:t>
      </w:r>
      <w:r w:rsidRPr="00B304D1">
        <w:rPr>
          <w:sz w:val="24"/>
          <w:szCs w:val="24"/>
        </w:rPr>
        <w:t>;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бух. отчетности;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должен обладать положительной репутацией; наличие сведений о судебных разбирательствах, закончившихся не в пользу Участника, или в рекламациях по </w:t>
      </w:r>
      <w:r>
        <w:rPr>
          <w:sz w:val="24"/>
          <w:szCs w:val="24"/>
        </w:rPr>
        <w:lastRenderedPageBreak/>
        <w:t>аналогичным Договорам может служить основанием для признания Участника неблагонадежным;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6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742107" w:rsidRPr="00742107" w:rsidRDefault="00742107" w:rsidP="00742107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справку с информацией о максимальных количественных показателях</w:t>
      </w:r>
      <w:r w:rsidRPr="00742107">
        <w:rPr>
          <w:sz w:val="24"/>
          <w:szCs w:val="24"/>
        </w:rPr>
        <w:t xml:space="preserve"> реализованных проектов в банковской сфере (не менее ТРЕХ).</w:t>
      </w:r>
    </w:p>
    <w:p w:rsidR="000A039C" w:rsidRPr="0033190B" w:rsidRDefault="00FA7296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33190B">
        <w:rPr>
          <w:sz w:val="24"/>
          <w:szCs w:val="24"/>
        </w:rPr>
        <w:t xml:space="preserve">правку в свободной форме </w:t>
      </w:r>
      <w:r>
        <w:rPr>
          <w:sz w:val="24"/>
          <w:szCs w:val="24"/>
        </w:rPr>
        <w:t>об опыте</w:t>
      </w:r>
      <w:r w:rsidR="00742107">
        <w:rPr>
          <w:sz w:val="24"/>
          <w:szCs w:val="24"/>
        </w:rPr>
        <w:t xml:space="preserve"> </w:t>
      </w:r>
      <w:r w:rsidR="00742107" w:rsidRPr="00E06463">
        <w:rPr>
          <w:sz w:val="24"/>
          <w:szCs w:val="24"/>
        </w:rPr>
        <w:t xml:space="preserve"> реализации проектов по внедрению систем и </w:t>
      </w:r>
      <w:r w:rsidR="00742107" w:rsidRPr="00B304D1">
        <w:rPr>
          <w:sz w:val="24"/>
          <w:szCs w:val="24"/>
        </w:rPr>
        <w:t xml:space="preserve">сервисов по анализу и предотвращению транзакционного  мошенничества  за последние </w:t>
      </w:r>
      <w:r w:rsidR="00B304D1">
        <w:rPr>
          <w:sz w:val="24"/>
          <w:szCs w:val="24"/>
        </w:rPr>
        <w:t>5</w:t>
      </w:r>
      <w:r w:rsidR="00742107" w:rsidRPr="00B304D1">
        <w:rPr>
          <w:sz w:val="24"/>
          <w:szCs w:val="24"/>
        </w:rPr>
        <w:t xml:space="preserve"> </w:t>
      </w:r>
      <w:r w:rsidR="00B304D1">
        <w:rPr>
          <w:sz w:val="24"/>
          <w:szCs w:val="24"/>
        </w:rPr>
        <w:t>лет</w:t>
      </w:r>
      <w:r w:rsidR="00742107" w:rsidRPr="00B304D1">
        <w:rPr>
          <w:rFonts w:eastAsia="Times New Roman"/>
          <w:sz w:val="24"/>
          <w:szCs w:val="24"/>
          <w:lang w:eastAsia="en-US"/>
        </w:rPr>
        <w:t xml:space="preserve"> (информацию необходимо подтвердить в простой письменной форме с указанием наименования</w:t>
      </w:r>
      <w:r w:rsidR="00742107" w:rsidRPr="004C09EE">
        <w:rPr>
          <w:rFonts w:eastAsia="Times New Roman"/>
          <w:sz w:val="24"/>
          <w:szCs w:val="24"/>
          <w:lang w:eastAsia="en-US"/>
        </w:rPr>
        <w:t xml:space="preserve"> клиента, статуса договора (например: инициирован/в процессе исполнения/завершен) ФИО, телефон, e-</w:t>
      </w:r>
      <w:proofErr w:type="spellStart"/>
      <w:r w:rsidR="00742107" w:rsidRPr="004C09EE">
        <w:rPr>
          <w:rFonts w:eastAsia="Times New Roman"/>
          <w:sz w:val="24"/>
          <w:szCs w:val="24"/>
          <w:lang w:eastAsia="en-US"/>
        </w:rPr>
        <w:t>mail</w:t>
      </w:r>
      <w:proofErr w:type="spellEnd"/>
      <w:r w:rsidR="00742107" w:rsidRPr="004C09EE">
        <w:rPr>
          <w:rFonts w:eastAsia="Times New Roman"/>
          <w:sz w:val="24"/>
          <w:szCs w:val="24"/>
          <w:lang w:eastAsia="en-US"/>
        </w:rPr>
        <w:t xml:space="preserve"> представителя клиента, отзывы заказчиков – копии, заверенные руководителем организации).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  <w:r w:rsidR="00742107">
        <w:rPr>
          <w:rFonts w:eastAsia="Times New Roman"/>
          <w:sz w:val="24"/>
          <w:szCs w:val="24"/>
          <w:lang w:eastAsia="en-US"/>
        </w:rPr>
        <w:t>.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предоставлять все документы,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</w:t>
      </w:r>
      <w:r w:rsidR="00742107">
        <w:rPr>
          <w:szCs w:val="24"/>
        </w:rPr>
        <w:t>,</w:t>
      </w:r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0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742107">
        <w:rPr>
          <w:b/>
          <w:szCs w:val="24"/>
        </w:rPr>
        <w:t>8</w:t>
      </w:r>
      <w:r w:rsidRPr="007702C7">
        <w:rPr>
          <w:b/>
          <w:szCs w:val="24"/>
        </w:rPr>
        <w:t>:00 (время московское) «</w:t>
      </w:r>
      <w:r w:rsidR="00742107">
        <w:rPr>
          <w:b/>
          <w:szCs w:val="24"/>
        </w:rPr>
        <w:t>18</w:t>
      </w:r>
      <w:r w:rsidRPr="007702C7">
        <w:rPr>
          <w:b/>
          <w:szCs w:val="24"/>
        </w:rPr>
        <w:t xml:space="preserve">» </w:t>
      </w:r>
      <w:r w:rsidR="00742107">
        <w:rPr>
          <w:b/>
          <w:szCs w:val="24"/>
        </w:rPr>
        <w:t>октября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1" w:name="_Ref56240821"/>
      <w:bookmarkEnd w:id="60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1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5279015"/>
      <w:bookmarkStart w:id="63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2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3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4" w:name="_Ref56233643"/>
      <w:bookmarkStart w:id="65" w:name="_Ref56235653"/>
      <w:bookmarkStart w:id="66" w:name="_Toc57314646"/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редложения не имеют силу, за исключением тех случаев, когда эти исправления заверены рукописной надписью «исправленному </w:t>
      </w:r>
      <w:r w:rsidR="00047AF2" w:rsidRPr="00BA08E8">
        <w:rPr>
          <w:szCs w:val="24"/>
        </w:rPr>
        <w:lastRenderedPageBreak/>
        <w:t>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E8139A">
      <w:pPr>
        <w:pStyle w:val="20"/>
        <w:numPr>
          <w:ilvl w:val="1"/>
          <w:numId w:val="2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7" w:name="_Toc57314647"/>
      <w:bookmarkStart w:id="68" w:name="_Toc98253989"/>
      <w:bookmarkStart w:id="69" w:name="_Toc140817628"/>
      <w:bookmarkStart w:id="70" w:name="_Toc251847619"/>
      <w:bookmarkStart w:id="71" w:name="_Toc399409608"/>
      <w:bookmarkEnd w:id="64"/>
      <w:bookmarkEnd w:id="65"/>
      <w:bookmarkEnd w:id="66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7"/>
      <w:bookmarkEnd w:id="68"/>
      <w:bookmarkEnd w:id="69"/>
      <w:bookmarkEnd w:id="70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1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2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3" w:name="_Hlt40850038"/>
      <w:bookmarkEnd w:id="73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4" w:name="_Toc57314653"/>
      <w:bookmarkStart w:id="75" w:name="_Toc98253991"/>
      <w:bookmarkStart w:id="76" w:name="_Toc140817629"/>
      <w:bookmarkStart w:id="77" w:name="_Toc251847620"/>
      <w:bookmarkStart w:id="78" w:name="_Toc399409609"/>
      <w:bookmarkEnd w:id="72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4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5"/>
      <w:bookmarkEnd w:id="76"/>
      <w:bookmarkEnd w:id="77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8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9" w:name="_Ref86823116"/>
      <w:bookmarkStart w:id="80" w:name="_Toc90385058"/>
      <w:bookmarkStart w:id="81" w:name="_Toc98253992"/>
      <w:bookmarkStart w:id="82" w:name="_Toc140817630"/>
      <w:bookmarkStart w:id="83" w:name="_Toc251847621"/>
      <w:bookmarkStart w:id="84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9"/>
      <w:bookmarkEnd w:id="8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1"/>
      <w:bookmarkEnd w:id="82"/>
      <w:bookmarkEnd w:id="83"/>
      <w:bookmarkEnd w:id="84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5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5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6" w:name="_Toc251847622"/>
      <w:bookmarkStart w:id="87" w:name="_Toc399409612"/>
      <w:bookmarkStart w:id="88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6"/>
      <w:bookmarkEnd w:id="87"/>
    </w:p>
    <w:p w:rsidR="00566649" w:rsidRPr="00BF632A" w:rsidRDefault="00F9213A" w:rsidP="00E8139A">
      <w:pPr>
        <w:pStyle w:val="aff4"/>
        <w:keepNext/>
        <w:numPr>
          <w:ilvl w:val="1"/>
          <w:numId w:val="20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89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742107">
        <w:rPr>
          <w:rFonts w:eastAsia="Times New Roman"/>
          <w:b/>
          <w:sz w:val="24"/>
          <w:szCs w:val="24"/>
          <w:lang w:eastAsia="en-US"/>
        </w:rPr>
        <w:t>8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742107">
        <w:rPr>
          <w:rFonts w:eastAsia="Times New Roman"/>
          <w:b/>
          <w:sz w:val="24"/>
          <w:szCs w:val="24"/>
          <w:lang w:eastAsia="en-US"/>
        </w:rPr>
        <w:t>18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742107">
        <w:rPr>
          <w:rFonts w:eastAsia="Times New Roman"/>
          <w:b/>
          <w:sz w:val="24"/>
          <w:szCs w:val="24"/>
          <w:lang w:eastAsia="en-US"/>
        </w:rPr>
        <w:t>ок</w:t>
      </w:r>
      <w:r w:rsidR="00006FF7">
        <w:rPr>
          <w:rFonts w:eastAsia="Times New Roman"/>
          <w:b/>
          <w:sz w:val="24"/>
          <w:szCs w:val="24"/>
          <w:lang w:eastAsia="en-US"/>
        </w:rPr>
        <w:t>тября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 Закупочной документации)</w:t>
      </w:r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0" w:name="_Ref55280453"/>
      <w:bookmarkStart w:id="91" w:name="_Toc55285353"/>
      <w:bookmarkStart w:id="92" w:name="_Toc55305385"/>
      <w:bookmarkStart w:id="93" w:name="_Toc57314656"/>
      <w:bookmarkStart w:id="94" w:name="_Toc69728970"/>
      <w:bookmarkStart w:id="95" w:name="_Toc189545080"/>
      <w:bookmarkStart w:id="96" w:name="_Toc251847623"/>
      <w:bookmarkStart w:id="97" w:name="_Toc399409613"/>
      <w:bookmarkEnd w:id="88"/>
      <w:bookmarkEnd w:id="89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0"/>
      <w:bookmarkEnd w:id="91"/>
      <w:bookmarkEnd w:id="92"/>
      <w:bookmarkEnd w:id="93"/>
      <w:bookmarkEnd w:id="94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5"/>
      <w:bookmarkEnd w:id="96"/>
      <w:bookmarkEnd w:id="97"/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8" w:name="_Toc98254000"/>
      <w:bookmarkStart w:id="99" w:name="_Toc251847625"/>
      <w:bookmarkStart w:id="100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8"/>
      <w:bookmarkEnd w:id="99"/>
      <w:bookmarkEnd w:id="100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1" w:name="_Ref93089454"/>
      <w:bookmarkStart w:id="102" w:name="_Toc98254001"/>
      <w:bookmarkStart w:id="103" w:name="_Toc251847626"/>
      <w:bookmarkStart w:id="104" w:name="_Toc399409615"/>
      <w:bookmarkStart w:id="105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1"/>
      <w:bookmarkEnd w:id="102"/>
      <w:bookmarkEnd w:id="103"/>
      <w:r w:rsidR="00777E4D">
        <w:rPr>
          <w:rFonts w:ascii="Times New Roman" w:hAnsi="Times New Roman"/>
          <w:sz w:val="24"/>
          <w:szCs w:val="24"/>
        </w:rPr>
        <w:t>стадия</w:t>
      </w:r>
      <w:bookmarkEnd w:id="104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5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6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6"/>
      <w:bookmarkEnd w:id="107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8" w:name="_Ref93089457"/>
      <w:bookmarkStart w:id="109" w:name="_Toc98254004"/>
      <w:bookmarkStart w:id="110" w:name="_Toc251847627"/>
      <w:bookmarkStart w:id="111" w:name="_Toc399409616"/>
      <w:bookmarkStart w:id="11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8"/>
      <w:bookmarkEnd w:id="109"/>
      <w:bookmarkEnd w:id="110"/>
      <w:r w:rsidR="002C0E5E">
        <w:rPr>
          <w:rFonts w:ascii="Times New Roman" w:hAnsi="Times New Roman"/>
          <w:sz w:val="24"/>
          <w:szCs w:val="24"/>
        </w:rPr>
        <w:t>этап</w:t>
      </w:r>
      <w:bookmarkEnd w:id="111"/>
    </w:p>
    <w:bookmarkEnd w:id="112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742107" w:rsidRDefault="00742107" w:rsidP="00742107">
      <w:pPr>
        <w:pStyle w:val="affa"/>
        <w:numPr>
          <w:ilvl w:val="0"/>
          <w:numId w:val="4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bookmarkStart w:id="113" w:name="_Toc251847629"/>
      <w:bookmarkStart w:id="114" w:name="_Ref55280461"/>
      <w:bookmarkStart w:id="115" w:name="_Toc55285354"/>
      <w:bookmarkStart w:id="116" w:name="_Toc55305386"/>
      <w:bookmarkStart w:id="117" w:name="_Toc57314657"/>
      <w:bookmarkStart w:id="118" w:name="_Toc69728971"/>
      <w:bookmarkStart w:id="119" w:name="_Toc189545081"/>
      <w:bookmarkStart w:id="120" w:name="_Toc399409617"/>
      <w:r>
        <w:t>Стоимость владения системой</w:t>
      </w:r>
    </w:p>
    <w:p w:rsidR="00742107" w:rsidRDefault="00742107" w:rsidP="00742107">
      <w:pPr>
        <w:pStyle w:val="affa"/>
        <w:numPr>
          <w:ilvl w:val="0"/>
          <w:numId w:val="4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Соответствие функциональным требованиям</w:t>
      </w:r>
    </w:p>
    <w:p w:rsidR="00742107" w:rsidRDefault="00742107" w:rsidP="00742107">
      <w:pPr>
        <w:pStyle w:val="affa"/>
        <w:numPr>
          <w:ilvl w:val="0"/>
          <w:numId w:val="4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Соответствие нефункциональным требованиям</w:t>
      </w:r>
    </w:p>
    <w:p w:rsidR="00742107" w:rsidRDefault="00742107" w:rsidP="00742107">
      <w:pPr>
        <w:pStyle w:val="affa"/>
        <w:numPr>
          <w:ilvl w:val="0"/>
          <w:numId w:val="4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Опыт и компетенция Участника</w:t>
      </w:r>
    </w:p>
    <w:p w:rsidR="00047AF2" w:rsidRPr="00A47F8E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bookmarkStart w:id="128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8"/>
    </w:p>
    <w:p w:rsid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E8139A">
      <w:pPr>
        <w:pStyle w:val="1111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9" w:name="_Ref55280474"/>
      <w:bookmarkStart w:id="130" w:name="_Toc55285356"/>
      <w:bookmarkStart w:id="131" w:name="_Toc55305388"/>
      <w:bookmarkStart w:id="132" w:name="_Toc57314659"/>
      <w:bookmarkStart w:id="133" w:name="_Toc69728973"/>
      <w:bookmarkStart w:id="134" w:name="_Toc189545082"/>
      <w:bookmarkStart w:id="135" w:name="_Toc251847631"/>
      <w:bookmarkStart w:id="136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7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r w:rsidR="00615156">
        <w:rPr>
          <w:szCs w:val="24"/>
        </w:rPr>
        <w:t>с даты объявления о побед</w:t>
      </w:r>
      <w:bookmarkEnd w:id="137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E8139A">
      <w:pPr>
        <w:pStyle w:val="aff4"/>
        <w:numPr>
          <w:ilvl w:val="0"/>
          <w:numId w:val="22"/>
        </w:numPr>
        <w:spacing w:line="240" w:lineRule="auto"/>
        <w:jc w:val="center"/>
        <w:rPr>
          <w:kern w:val="28"/>
          <w:sz w:val="24"/>
          <w:szCs w:val="24"/>
        </w:rPr>
      </w:pPr>
      <w:bookmarkStart w:id="138" w:name="_Toc422477912"/>
      <w:bookmarkStart w:id="139" w:name="_Toc422827116"/>
      <w:bookmarkStart w:id="140" w:name="_Toc189545084"/>
      <w:bookmarkStart w:id="141" w:name="_Toc251847633"/>
      <w:bookmarkStart w:id="142" w:name="_Toc399409620"/>
      <w:r w:rsidRPr="002754CB">
        <w:rPr>
          <w:b/>
          <w:bCs/>
          <w:caps/>
          <w:kern w:val="28"/>
          <w:sz w:val="24"/>
          <w:szCs w:val="24"/>
        </w:rPr>
        <w:lastRenderedPageBreak/>
        <w:t>Противодействие нарушениям и мошенничеству</w:t>
      </w:r>
      <w:bookmarkEnd w:id="138"/>
      <w:bookmarkEnd w:id="139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E8139A">
      <w:pPr>
        <w:pStyle w:val="111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0"/>
      <w:bookmarkEnd w:id="141"/>
      <w:bookmarkEnd w:id="142"/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3" w:name="_Toc189545085"/>
      <w:bookmarkStart w:id="144" w:name="_Toc251847634"/>
      <w:bookmarkStart w:id="145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3"/>
      <w:bookmarkEnd w:id="144"/>
      <w:bookmarkEnd w:id="145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FA7296" w:rsidRDefault="00047AF2" w:rsidP="00FA7296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BA08E8">
        <w:rPr>
          <w:szCs w:val="24"/>
        </w:rPr>
        <w:t xml:space="preserve">Изучив Уведомление о проведении </w:t>
      </w:r>
      <w:r w:rsidR="00742107">
        <w:rPr>
          <w:szCs w:val="24"/>
        </w:rPr>
        <w:t>закрытого</w:t>
      </w:r>
      <w:r w:rsidR="00A1508E">
        <w:rPr>
          <w:szCs w:val="24"/>
        </w:rPr>
        <w:t xml:space="preserve">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9E0C5C">
        <w:rPr>
          <w:b/>
          <w:szCs w:val="24"/>
        </w:rPr>
        <w:t xml:space="preserve">закрытому </w:t>
      </w:r>
      <w:r w:rsidR="00A1508E" w:rsidRPr="00A1508E">
        <w:rPr>
          <w:b/>
          <w:szCs w:val="24"/>
        </w:rPr>
        <w:t xml:space="preserve">запросу предложений </w:t>
      </w:r>
      <w:r w:rsidR="009E0C5C">
        <w:rPr>
          <w:b/>
          <w:szCs w:val="24"/>
        </w:rPr>
        <w:t xml:space="preserve">на поставку Сервиса </w:t>
      </w:r>
      <w:r w:rsidR="00FA7296" w:rsidRPr="00C5088B">
        <w:rPr>
          <w:b/>
        </w:rPr>
        <w:t xml:space="preserve"> </w:t>
      </w:r>
      <w:r w:rsidR="009E0C5C" w:rsidRPr="00E06463">
        <w:rPr>
          <w:b/>
        </w:rPr>
        <w:t xml:space="preserve">по предотвращению </w:t>
      </w:r>
      <w:r w:rsidR="009E0C5C">
        <w:rPr>
          <w:b/>
        </w:rPr>
        <w:t xml:space="preserve">транзакционного </w:t>
      </w:r>
      <w:r w:rsidR="009E0C5C" w:rsidRPr="00E06463">
        <w:rPr>
          <w:b/>
        </w:rPr>
        <w:t xml:space="preserve">мошенничества </w:t>
      </w:r>
      <w:r w:rsidR="009E0C5C">
        <w:rPr>
          <w:b/>
        </w:rPr>
        <w:t xml:space="preserve">для </w:t>
      </w:r>
      <w:r w:rsidR="00FA7296" w:rsidRPr="00C5088B">
        <w:rPr>
          <w:b/>
          <w:szCs w:val="24"/>
        </w:rPr>
        <w:t>ПАО «МТС-Банк»</w:t>
      </w:r>
      <w:r w:rsidR="00FA7296">
        <w:rPr>
          <w:b/>
          <w:bCs/>
          <w:i/>
          <w:iCs/>
          <w:color w:val="000000"/>
          <w:w w:val="108"/>
          <w:sz w:val="22"/>
        </w:rPr>
        <w:t xml:space="preserve">, </w:t>
      </w:r>
      <w:r w:rsidRPr="00BA08E8">
        <w:rPr>
          <w:szCs w:val="24"/>
        </w:rPr>
        <w:t>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зарегистрированное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предлагает заключить Договор на</w:t>
      </w:r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6" w:name="_Hlt440565644"/>
      <w:bookmarkEnd w:id="146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A154C0" w:rsidRPr="00A154C0" w:rsidRDefault="00A154C0" w:rsidP="00A154C0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Протокол разногласий к проекту догово</w:t>
      </w:r>
      <w:r>
        <w:rPr>
          <w:szCs w:val="24"/>
        </w:rPr>
        <w:t>ра (Форма № 3) – на ____ листах (в случае, если организатор закупки прилагает к комплекту закупочной документации  проект договора).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lastRenderedPageBreak/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9E0C5C">
        <w:rPr>
          <w:szCs w:val="24"/>
        </w:rPr>
        <w:t>___________________________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7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7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8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49" w:name="_Toc251847635"/>
      <w:bookmarkStart w:id="150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8"/>
      <w:bookmarkEnd w:id="149"/>
      <w:bookmarkEnd w:id="150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1F328B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1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1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2" w:name="_Ref55335823"/>
      <w:bookmarkStart w:id="153" w:name="_Ref55336359"/>
      <w:bookmarkStart w:id="154" w:name="_Toc57314675"/>
      <w:bookmarkStart w:id="155" w:name="_Toc69728989"/>
      <w:bookmarkStart w:id="156" w:name="_Toc189545088"/>
      <w:bookmarkStart w:id="157" w:name="_Toc251847637"/>
      <w:bookmarkStart w:id="158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2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2"/>
      <w:bookmarkEnd w:id="153"/>
      <w:bookmarkEnd w:id="154"/>
      <w:bookmarkEnd w:id="155"/>
      <w:bookmarkEnd w:id="156"/>
      <w:bookmarkEnd w:id="157"/>
      <w:bookmarkEnd w:id="158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1F328B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E8139A">
      <w:pPr>
        <w:pStyle w:val="20"/>
        <w:numPr>
          <w:ilvl w:val="2"/>
          <w:numId w:val="23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9E0C5C" w:rsidRDefault="009E0C5C" w:rsidP="009E0C5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E06463">
        <w:rPr>
          <w:b/>
        </w:rPr>
        <w:t>ТЕХНИЧЕСКОЕ ЗАДАНИЕ</w:t>
      </w:r>
    </w:p>
    <w:p w:rsidR="009E0C5C" w:rsidRPr="00E06463" w:rsidRDefault="009E0C5C" w:rsidP="009E0C5C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9E0C5C" w:rsidRDefault="009E0C5C" w:rsidP="009E0C5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E06463">
        <w:rPr>
          <w:b/>
        </w:rPr>
        <w:t xml:space="preserve">на закупку Сервиса по предотвращению </w:t>
      </w:r>
      <w:r>
        <w:rPr>
          <w:b/>
        </w:rPr>
        <w:t xml:space="preserve">транзакционного </w:t>
      </w:r>
      <w:r w:rsidRPr="00E06463">
        <w:rPr>
          <w:b/>
        </w:rPr>
        <w:t xml:space="preserve">мошенничества </w:t>
      </w:r>
    </w:p>
    <w:p w:rsidR="009E0C5C" w:rsidRPr="00E06463" w:rsidRDefault="009E0C5C" w:rsidP="009E0C5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E06463">
        <w:rPr>
          <w:b/>
        </w:rPr>
        <w:t>для ПАО «МТС-Банк»</w:t>
      </w:r>
    </w:p>
    <w:p w:rsidR="009E0C5C" w:rsidRPr="00E06463" w:rsidRDefault="009E0C5C" w:rsidP="009E0C5C">
      <w:pPr>
        <w:spacing w:after="0" w:line="240" w:lineRule="auto"/>
      </w:pPr>
    </w:p>
    <w:p w:rsidR="009E0C5C" w:rsidRPr="00E06463" w:rsidRDefault="009E0C5C" w:rsidP="009E0C5C">
      <w:pPr>
        <w:pStyle w:val="1"/>
        <w:spacing w:before="0" w:line="240" w:lineRule="auto"/>
        <w:ind w:left="360" w:firstLine="0"/>
        <w:rPr>
          <w:rFonts w:ascii="Times New Roman" w:hAnsi="Times New Roman"/>
          <w:b w:val="0"/>
          <w:i/>
          <w:lang w:val="ru-RU"/>
        </w:rPr>
      </w:pPr>
      <w:r w:rsidRPr="00E06463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</w:p>
    <w:p w:rsidR="009E0C5C" w:rsidRPr="00E06463" w:rsidRDefault="009E0C5C" w:rsidP="009E0C5C">
      <w:pPr>
        <w:pStyle w:val="21"/>
        <w:ind w:left="360" w:firstLine="0"/>
        <w:jc w:val="both"/>
        <w:rPr>
          <w:rFonts w:ascii="Times New Roman" w:hAnsi="Times New Roman"/>
          <w:lang w:val="ru-RU"/>
        </w:rPr>
      </w:pPr>
      <w:r w:rsidRPr="00E06463">
        <w:rPr>
          <w:rFonts w:ascii="Times New Roman" w:hAnsi="Times New Roman"/>
        </w:rPr>
        <w:t>Предмет  закупки</w:t>
      </w:r>
      <w:r w:rsidRPr="00E06463">
        <w:rPr>
          <w:rFonts w:ascii="Times New Roman" w:hAnsi="Times New Roman"/>
          <w:lang w:val="ru-RU"/>
        </w:rPr>
        <w:t>:</w:t>
      </w:r>
    </w:p>
    <w:p w:rsidR="009E0C5C" w:rsidRPr="00E06463" w:rsidRDefault="009E0C5C" w:rsidP="009E0C5C">
      <w:pPr>
        <w:pStyle w:val="affa"/>
        <w:jc w:val="both"/>
      </w:pPr>
      <w:r w:rsidRPr="00E06463">
        <w:t xml:space="preserve">Целью закупки является покупка и внедрение комплексного программного обеспечения, позволяющего: </w:t>
      </w:r>
    </w:p>
    <w:p w:rsidR="009E0C5C" w:rsidRPr="00E06463" w:rsidRDefault="009E0C5C" w:rsidP="009E0C5C">
      <w:pPr>
        <w:pStyle w:val="affa"/>
        <w:numPr>
          <w:ilvl w:val="0"/>
          <w:numId w:val="45"/>
        </w:numPr>
        <w:autoSpaceDE w:val="0"/>
        <w:autoSpaceDN w:val="0"/>
        <w:spacing w:after="240"/>
        <w:contextualSpacing/>
        <w:jc w:val="both"/>
      </w:pPr>
      <w:r w:rsidRPr="00E06463">
        <w:t>определять уровень риска при проведении клиентом платежных и иных операций в дистанционных каналах обслуживания, используя как внешние, так и внутренние источники информации;</w:t>
      </w:r>
    </w:p>
    <w:p w:rsidR="009E0C5C" w:rsidRPr="00E06463" w:rsidRDefault="009E0C5C" w:rsidP="009E0C5C">
      <w:pPr>
        <w:pStyle w:val="affa"/>
        <w:numPr>
          <w:ilvl w:val="0"/>
          <w:numId w:val="45"/>
        </w:numPr>
        <w:autoSpaceDE w:val="0"/>
        <w:autoSpaceDN w:val="0"/>
        <w:spacing w:after="240"/>
        <w:contextualSpacing/>
        <w:jc w:val="both"/>
      </w:pPr>
      <w:r w:rsidRPr="00E06463">
        <w:t>осуществление автоматизированной блокировки операции или ее отправки на дополнительную аутентификацию;</w:t>
      </w:r>
    </w:p>
    <w:p w:rsidR="009E0C5C" w:rsidRPr="00E06463" w:rsidRDefault="009E0C5C" w:rsidP="009E0C5C">
      <w:pPr>
        <w:pStyle w:val="affa"/>
        <w:numPr>
          <w:ilvl w:val="0"/>
          <w:numId w:val="45"/>
        </w:numPr>
        <w:autoSpaceDE w:val="0"/>
        <w:autoSpaceDN w:val="0"/>
        <w:spacing w:after="240"/>
        <w:contextualSpacing/>
        <w:jc w:val="both"/>
      </w:pPr>
      <w:r w:rsidRPr="00E06463">
        <w:t xml:space="preserve">делать </w:t>
      </w:r>
      <w:proofErr w:type="spellStart"/>
      <w:r w:rsidRPr="00E06463">
        <w:t>скоринговую</w:t>
      </w:r>
      <w:proofErr w:type="spellEnd"/>
      <w:r w:rsidRPr="00E06463">
        <w:t xml:space="preserve"> оценку уровня риска клиентов в процессе их обслуживания, в том числе с учетом используемых клиентом продуктов и осуществляемых операций;</w:t>
      </w:r>
    </w:p>
    <w:p w:rsidR="009E0C5C" w:rsidRPr="00E06463" w:rsidRDefault="009E0C5C" w:rsidP="009E0C5C">
      <w:pPr>
        <w:pStyle w:val="affa"/>
        <w:numPr>
          <w:ilvl w:val="0"/>
          <w:numId w:val="45"/>
        </w:numPr>
        <w:autoSpaceDE w:val="0"/>
        <w:autoSpaceDN w:val="0"/>
        <w:spacing w:after="240"/>
        <w:contextualSpacing/>
        <w:jc w:val="both"/>
      </w:pPr>
      <w:r w:rsidRPr="00E06463">
        <w:t xml:space="preserve">проводить анализ всех операций на заданный период по заданным критериям/сценариям, а также проводить расследования по отдельно взятому клиенту. </w:t>
      </w:r>
    </w:p>
    <w:p w:rsidR="009E0C5C" w:rsidRPr="00E06463" w:rsidRDefault="009E0C5C" w:rsidP="009E0C5C">
      <w:pPr>
        <w:pStyle w:val="affa"/>
        <w:jc w:val="both"/>
      </w:pPr>
      <w:r w:rsidRPr="00E06463">
        <w:t>Платформа системы должна позволять расширение функционала системы с учетом потребности последующего внедрения решений, необходимых другим подразделениям Банка.</w:t>
      </w:r>
    </w:p>
    <w:p w:rsidR="009E0C5C" w:rsidRPr="00E06463" w:rsidRDefault="009E0C5C" w:rsidP="009E0C5C">
      <w:pPr>
        <w:pStyle w:val="affa"/>
        <w:jc w:val="both"/>
        <w:rPr>
          <w:color w:val="FF0000"/>
        </w:rPr>
      </w:pPr>
    </w:p>
    <w:p w:rsidR="009E0C5C" w:rsidRPr="00E06463" w:rsidRDefault="009E0C5C" w:rsidP="009E0C5C">
      <w:pPr>
        <w:pStyle w:val="affa"/>
        <w:jc w:val="both"/>
      </w:pPr>
      <w:r w:rsidRPr="00E06463">
        <w:t>По результатам закупки сервиса по анализу и предотвращению мошенничества Банк должен получить:</w:t>
      </w:r>
    </w:p>
    <w:p w:rsidR="009E0C5C" w:rsidRPr="00E06463" w:rsidRDefault="009E0C5C" w:rsidP="009E0C5C">
      <w:pPr>
        <w:pStyle w:val="affa"/>
        <w:numPr>
          <w:ilvl w:val="0"/>
          <w:numId w:val="44"/>
        </w:numPr>
        <w:autoSpaceDE w:val="0"/>
        <w:autoSpaceDN w:val="0"/>
        <w:spacing w:after="240"/>
        <w:contextualSpacing/>
        <w:jc w:val="both"/>
      </w:pPr>
      <w:r w:rsidRPr="00E06463">
        <w:t>Набор программных компонент для интеграции Сервиса с банковскими системами источниками.</w:t>
      </w:r>
    </w:p>
    <w:p w:rsidR="009E0C5C" w:rsidRPr="00E06463" w:rsidRDefault="009E0C5C" w:rsidP="009E0C5C">
      <w:pPr>
        <w:pStyle w:val="affa"/>
        <w:numPr>
          <w:ilvl w:val="0"/>
          <w:numId w:val="44"/>
        </w:numPr>
        <w:autoSpaceDE w:val="0"/>
        <w:autoSpaceDN w:val="0"/>
        <w:spacing w:after="240"/>
        <w:contextualSpacing/>
        <w:jc w:val="both"/>
      </w:pPr>
      <w:r w:rsidRPr="00E06463">
        <w:t>Сервис по генерации предупреждений и настройки сценариев, включающее пакет готовых сценариев.</w:t>
      </w:r>
    </w:p>
    <w:p w:rsidR="009E0C5C" w:rsidRPr="00E06463" w:rsidRDefault="009E0C5C" w:rsidP="009E0C5C">
      <w:pPr>
        <w:pStyle w:val="affa"/>
        <w:numPr>
          <w:ilvl w:val="0"/>
          <w:numId w:val="44"/>
        </w:numPr>
        <w:autoSpaceDE w:val="0"/>
        <w:autoSpaceDN w:val="0"/>
        <w:spacing w:after="240"/>
        <w:contextualSpacing/>
        <w:jc w:val="both"/>
      </w:pPr>
      <w:r w:rsidRPr="00E06463">
        <w:t xml:space="preserve">Автоматизированное рабочее место </w:t>
      </w:r>
      <w:proofErr w:type="spellStart"/>
      <w:r w:rsidRPr="00E06463">
        <w:t>фрод</w:t>
      </w:r>
      <w:proofErr w:type="spellEnd"/>
      <w:r w:rsidRPr="00E06463">
        <w:t xml:space="preserve">-офицера для проведения сложных расследований подозрительных операций и управления инцидентами, с возможностью визуализации данных, в </w:t>
      </w:r>
      <w:proofErr w:type="spellStart"/>
      <w:r w:rsidRPr="00E06463">
        <w:t>т.ч</w:t>
      </w:r>
      <w:proofErr w:type="spellEnd"/>
      <w:r w:rsidRPr="00E06463">
        <w:t>. проведения анализа связей.</w:t>
      </w:r>
    </w:p>
    <w:p w:rsidR="009E0C5C" w:rsidRPr="00E06463" w:rsidRDefault="009E0C5C" w:rsidP="009E0C5C">
      <w:pPr>
        <w:pStyle w:val="affa"/>
        <w:numPr>
          <w:ilvl w:val="0"/>
          <w:numId w:val="44"/>
        </w:numPr>
        <w:autoSpaceDE w:val="0"/>
        <w:autoSpaceDN w:val="0"/>
        <w:spacing w:after="240"/>
        <w:contextualSpacing/>
        <w:jc w:val="both"/>
      </w:pPr>
      <w:r w:rsidRPr="00E06463">
        <w:t>Специализированное решение, обеспечивающее проверку по различным черным и белым спискам.</w:t>
      </w:r>
    </w:p>
    <w:p w:rsidR="009E0C5C" w:rsidRPr="00E06463" w:rsidRDefault="009E0C5C" w:rsidP="009E0C5C">
      <w:pPr>
        <w:pStyle w:val="affa"/>
        <w:numPr>
          <w:ilvl w:val="0"/>
          <w:numId w:val="44"/>
        </w:numPr>
        <w:autoSpaceDE w:val="0"/>
        <w:autoSpaceDN w:val="0"/>
        <w:spacing w:after="240"/>
        <w:contextualSpacing/>
        <w:jc w:val="both"/>
      </w:pPr>
      <w:r w:rsidRPr="00E06463">
        <w:t>Специализированное решение на основе технологий машинного обучения и искусственного интеллекта для обнаружения рискованных операций.</w:t>
      </w:r>
    </w:p>
    <w:p w:rsidR="009E0C5C" w:rsidRPr="00E06463" w:rsidRDefault="009E0C5C" w:rsidP="009E0C5C">
      <w:pPr>
        <w:pStyle w:val="affa"/>
        <w:jc w:val="both"/>
      </w:pPr>
    </w:p>
    <w:p w:rsidR="009E0C5C" w:rsidRPr="00E06463" w:rsidRDefault="009E0C5C" w:rsidP="009E0C5C">
      <w:pPr>
        <w:pStyle w:val="affa"/>
        <w:jc w:val="both"/>
      </w:pPr>
      <w:r w:rsidRPr="00E06463">
        <w:t xml:space="preserve">Предметом закупки является наилучшее предложение на выполнение работ/оказание услуг по разработке, внедрению, поставку лицензий и техническую поддержку </w:t>
      </w:r>
      <w:r>
        <w:t xml:space="preserve">сервиса </w:t>
      </w:r>
      <w:proofErr w:type="spellStart"/>
      <w:r>
        <w:t>фрод</w:t>
      </w:r>
      <w:proofErr w:type="spellEnd"/>
      <w:r>
        <w:t>-мониторинга транзакционных каналов банка</w:t>
      </w:r>
      <w:r w:rsidRPr="00E06463">
        <w:t xml:space="preserve"> на следующих условиях:</w:t>
      </w:r>
    </w:p>
    <w:p w:rsidR="009E0C5C" w:rsidRPr="00E06463" w:rsidRDefault="009E0C5C" w:rsidP="009E0C5C">
      <w:pPr>
        <w:pStyle w:val="affa"/>
        <w:jc w:val="both"/>
      </w:pP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</w:pPr>
      <w:r w:rsidRPr="00E06463">
        <w:rPr>
          <w:b/>
        </w:rPr>
        <w:t>Состав работ/услуг и</w:t>
      </w:r>
      <w:r w:rsidRPr="00E06463">
        <w:t xml:space="preserve"> </w:t>
      </w:r>
      <w:r w:rsidRPr="00E06463">
        <w:rPr>
          <w:b/>
        </w:rPr>
        <w:t xml:space="preserve">специальные требования к работам/услугам: 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подписание договора на проведение работ;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lastRenderedPageBreak/>
        <w:t xml:space="preserve">проведение </w:t>
      </w:r>
      <w:proofErr w:type="spellStart"/>
      <w:r w:rsidRPr="00E06463">
        <w:t>предпроектного</w:t>
      </w:r>
      <w:proofErr w:type="spellEnd"/>
      <w:r w:rsidRPr="00E06463">
        <w:t xml:space="preserve"> обследования, по результатам которого возможно уточнение бизнес и функциональных требований, технического задания;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разработка интеграционных программных компонент</w:t>
      </w:r>
      <w:r w:rsidRPr="00E06463">
        <w:rPr>
          <w:lang w:val="en-US"/>
        </w:rPr>
        <w:t>;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участие в подготовке тестовой и промышленной инфраструктуры в Банке;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внедрение и тестирование программной системы в Банке;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 xml:space="preserve">организация </w:t>
      </w:r>
      <w:proofErr w:type="spellStart"/>
      <w:r w:rsidRPr="00E06463">
        <w:t>демо</w:t>
      </w:r>
      <w:proofErr w:type="spellEnd"/>
      <w:r w:rsidRPr="00E06463">
        <w:t>-стенда, выделение сотрудников для выезда в Банк, обучение работе с программной системой, предоставление  необходимой документации;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обеспечение стабильного функционирования системы и автоматическое резервирование, исправление ошибок по результатам Опытно-Промышленной Эксплуатации (Далее - ОПЭ),   передача системы в промышленную эксплуатацию.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обеспечение технической поддержки и сопровождение ПО в ходе проекта.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обеспечение гарантийной поддержки после ввода в  ОПЭ.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обеспечение сопровождения и развития после завершения проекта.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подготовка план – график</w:t>
      </w:r>
      <w:r>
        <w:t>а</w:t>
      </w:r>
      <w:r w:rsidRPr="00E06463">
        <w:t xml:space="preserve"> работ по проекту. Актуализировать на еженедельной основе 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 xml:space="preserve">оказание услуг по </w:t>
      </w:r>
      <w:proofErr w:type="spellStart"/>
      <w:r w:rsidRPr="00E06463">
        <w:t>фрод</w:t>
      </w:r>
      <w:proofErr w:type="spellEnd"/>
      <w:r w:rsidRPr="00E06463">
        <w:t>-мониторингу потока событий в разных каналах банковских транзакций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>оказание услуг по адаптации сценариев и моделей обнаружения мошенничества под требования банка</w:t>
      </w:r>
    </w:p>
    <w:p w:rsidR="009E0C5C" w:rsidRPr="00E06463" w:rsidRDefault="009E0C5C" w:rsidP="009E0C5C">
      <w:pPr>
        <w:pStyle w:val="affa"/>
        <w:numPr>
          <w:ilvl w:val="0"/>
          <w:numId w:val="46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E06463">
        <w:t xml:space="preserve">оказание услуг по обогащению внешними данными потока событий с целью </w:t>
      </w:r>
      <w:proofErr w:type="spellStart"/>
      <w:r w:rsidRPr="00E06463">
        <w:t>фрод</w:t>
      </w:r>
      <w:proofErr w:type="spellEnd"/>
      <w:r w:rsidRPr="00E06463">
        <w:t>-мониторинга</w:t>
      </w: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i/>
        </w:rPr>
      </w:pPr>
      <w:r w:rsidRPr="00E06463">
        <w:rPr>
          <w:b/>
        </w:rPr>
        <w:t xml:space="preserve">Этапы выполнения работ и описание ожидаемых результатов выполнения работ/оказания услуг: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3969"/>
        <w:gridCol w:w="4643"/>
      </w:tblGrid>
      <w:tr w:rsidR="009E0C5C" w:rsidRPr="00E06463" w:rsidTr="009E0C5C">
        <w:trPr>
          <w:tblHeader/>
        </w:trPr>
        <w:tc>
          <w:tcPr>
            <w:tcW w:w="599" w:type="dxa"/>
          </w:tcPr>
          <w:p w:rsidR="009E0C5C" w:rsidRPr="00E06463" w:rsidRDefault="009E0C5C" w:rsidP="009E0C5C">
            <w:pPr>
              <w:rPr>
                <w:b/>
              </w:rPr>
            </w:pPr>
            <w:r w:rsidRPr="00E06463">
              <w:rPr>
                <w:b/>
                <w:sz w:val="22"/>
              </w:rPr>
              <w:t>№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rPr>
                <w:b/>
              </w:rPr>
            </w:pPr>
            <w:r w:rsidRPr="00E06463">
              <w:rPr>
                <w:b/>
                <w:sz w:val="22"/>
              </w:rPr>
              <w:t>Работа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rPr>
                <w:b/>
              </w:rPr>
            </w:pPr>
            <w:r w:rsidRPr="00E06463">
              <w:rPr>
                <w:b/>
                <w:sz w:val="22"/>
              </w:rPr>
              <w:t>Ожидаемый результат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1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Анализ предметной области и разработка технического задания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Разработан, согласован и передан в Банк Документ Техническое задание в объеме, достаточном для проведения разработки и настройки ПО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2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Разработка и/или доработка документа Архитектура решения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Разработан, согласован и передан в Банк Документ Архитектура решения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3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Развертывание и настройка тестовых/промышленных сред на площадках Заказчика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Произведена настройка необходимых программных компонент внедряемого ПО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4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bCs/>
              </w:rPr>
              <w:t>Настройка/доработка до полного соответствия бизнес и функциональным требованиям программного обеспечения</w:t>
            </w:r>
            <w:r w:rsidRPr="00E06463" w:rsidDel="00696537">
              <w:t xml:space="preserve"> 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Произведена доработка и настройка необходимых программных компонент внедряемого ПО, включая интеграционный слой,</w:t>
            </w:r>
            <w:r w:rsidRPr="00E06463" w:rsidDel="00696537">
              <w:t xml:space="preserve"> </w:t>
            </w:r>
            <w:r w:rsidRPr="00E06463">
              <w:t>до полного соответствия требованиям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5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Оформление технической документации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Разработаны, согласованы и переданы в Банк планы тестирования, методика приемо-сдаточных испытаний (Далее - ПСИ), протоколы тестирования, руководства администратора и пользователей.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6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Обучение персонала Банка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 xml:space="preserve">Проведено обучение технологов, разработчиков, администраторов и </w:t>
            </w:r>
            <w:r w:rsidRPr="00E06463">
              <w:lastRenderedPageBreak/>
              <w:t>пользователей системы в объеме, достаточном для эксплуатации системы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lastRenderedPageBreak/>
              <w:t>7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Внутреннее функциональное и интеграционное тестирование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Проведено функциональное, интеграционное, приемочное, регрессионное тестирование. Предоставлены соответствующие протоколы и акты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8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Нагрузочное тестирование и тестирование отказоустойчивости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Проведено нагрузочное тестирование и тестирование отказоустойчивости. Предоставлены соответствующие протоколы и акты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9</w:t>
            </w:r>
          </w:p>
        </w:tc>
        <w:tc>
          <w:tcPr>
            <w:tcW w:w="3969" w:type="dxa"/>
          </w:tcPr>
          <w:p w:rsidR="009E0C5C" w:rsidRPr="00E06463" w:rsidDel="00696537" w:rsidRDefault="009E0C5C" w:rsidP="009E0C5C">
            <w:pPr>
              <w:spacing w:after="0" w:line="240" w:lineRule="auto"/>
            </w:pPr>
            <w:r w:rsidRPr="00E06463">
              <w:t>Демонстрация промежуточных прототипов Системы (при необходимости)</w:t>
            </w:r>
          </w:p>
        </w:tc>
        <w:tc>
          <w:tcPr>
            <w:tcW w:w="4643" w:type="dxa"/>
          </w:tcPr>
          <w:p w:rsidR="009E0C5C" w:rsidRPr="00E06463" w:rsidDel="00696537" w:rsidRDefault="009E0C5C" w:rsidP="009E0C5C">
            <w:pPr>
              <w:spacing w:after="0" w:line="240" w:lineRule="auto"/>
            </w:pPr>
            <w:r w:rsidRPr="00E06463">
              <w:t>Проведена демонстрация, зафиксированы новые требования и пожелания.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  <w:rPr>
                <w:sz w:val="22"/>
              </w:rPr>
            </w:pPr>
            <w:r w:rsidRPr="00E06463">
              <w:rPr>
                <w:sz w:val="22"/>
              </w:rPr>
              <w:t>10</w:t>
            </w:r>
          </w:p>
        </w:tc>
        <w:tc>
          <w:tcPr>
            <w:tcW w:w="396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Проведение приемо-сдаточных испытаний (ПСИ)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Проведено ПСИ согласно методике, предоставлены протоколы и акты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11</w:t>
            </w:r>
          </w:p>
        </w:tc>
        <w:tc>
          <w:tcPr>
            <w:tcW w:w="3969" w:type="dxa"/>
          </w:tcPr>
          <w:p w:rsidR="009E0C5C" w:rsidRPr="00E06463" w:rsidDel="00696537" w:rsidRDefault="009E0C5C" w:rsidP="009E0C5C">
            <w:pPr>
              <w:spacing w:after="0" w:line="240" w:lineRule="auto"/>
            </w:pPr>
            <w:r w:rsidRPr="00E06463">
              <w:t>Сопровождение, исправление ошибок и стабилизация решения на этапе опытно-промышленной эксплуатации (ОПЭ)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Исправлены обнаруженные ошибки и недочеты. Проведено обновление соответствующей технической и пользовательской документации</w:t>
            </w:r>
          </w:p>
        </w:tc>
      </w:tr>
      <w:tr w:rsidR="009E0C5C" w:rsidRPr="00E06463" w:rsidTr="009E0C5C">
        <w:tc>
          <w:tcPr>
            <w:tcW w:w="599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rPr>
                <w:sz w:val="22"/>
              </w:rPr>
              <w:t>12</w:t>
            </w:r>
          </w:p>
        </w:tc>
        <w:tc>
          <w:tcPr>
            <w:tcW w:w="3969" w:type="dxa"/>
          </w:tcPr>
          <w:p w:rsidR="009E0C5C" w:rsidRPr="00E06463" w:rsidDel="00696537" w:rsidRDefault="009E0C5C" w:rsidP="009E0C5C">
            <w:pPr>
              <w:spacing w:after="0" w:line="240" w:lineRule="auto"/>
            </w:pPr>
            <w:r w:rsidRPr="00E06463">
              <w:t xml:space="preserve">Прочие работы, необходимые для ввода в промышленную эксплуатацию внедряемой системы, в том числе, </w:t>
            </w:r>
            <w:r w:rsidRPr="00E06463">
              <w:rPr>
                <w:bCs/>
              </w:rPr>
              <w:t xml:space="preserve">корректировка справочников, загрузка </w:t>
            </w:r>
            <w:proofErr w:type="spellStart"/>
            <w:r w:rsidRPr="00E06463">
              <w:rPr>
                <w:bCs/>
              </w:rPr>
              <w:t>орг</w:t>
            </w:r>
            <w:proofErr w:type="spellEnd"/>
            <w:r w:rsidRPr="00E06463">
              <w:rPr>
                <w:bCs/>
              </w:rPr>
              <w:t>-структуры, работы по миграции данных и т.п.</w:t>
            </w:r>
          </w:p>
        </w:tc>
        <w:tc>
          <w:tcPr>
            <w:tcW w:w="4643" w:type="dxa"/>
          </w:tcPr>
          <w:p w:rsidR="009E0C5C" w:rsidRPr="00E06463" w:rsidRDefault="009E0C5C" w:rsidP="009E0C5C">
            <w:pPr>
              <w:spacing w:after="0" w:line="240" w:lineRule="auto"/>
            </w:pPr>
            <w:r w:rsidRPr="00E06463">
              <w:t>В соответствии со спецификой проводимых работ в объеме, достаточном для выполнения соответствующих бизнес и функциональных требований</w:t>
            </w:r>
          </w:p>
        </w:tc>
      </w:tr>
    </w:tbl>
    <w:p w:rsidR="009E0C5C" w:rsidRPr="00E06463" w:rsidRDefault="009E0C5C" w:rsidP="009E0C5C">
      <w:pPr>
        <w:suppressAutoHyphens/>
        <w:spacing w:after="0" w:line="240" w:lineRule="auto"/>
        <w:ind w:left="720"/>
        <w:jc w:val="both"/>
        <w:rPr>
          <w:b/>
        </w:rPr>
      </w:pPr>
    </w:p>
    <w:p w:rsidR="009E0C5C" w:rsidRPr="003D52C8" w:rsidRDefault="009E0C5C" w:rsidP="009E0C5C">
      <w:pPr>
        <w:numPr>
          <w:ilvl w:val="0"/>
          <w:numId w:val="16"/>
        </w:numPr>
        <w:spacing w:after="0" w:line="240" w:lineRule="auto"/>
        <w:jc w:val="both"/>
      </w:pPr>
      <w:r w:rsidRPr="003D52C8">
        <w:rPr>
          <w:b/>
          <w:bCs/>
        </w:rPr>
        <w:t>Критерии оценки и определения победителя</w:t>
      </w:r>
    </w:p>
    <w:p w:rsidR="009E0C5C" w:rsidRDefault="009E0C5C" w:rsidP="009E0C5C">
      <w:pPr>
        <w:pStyle w:val="affa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Стоимость владения системой</w:t>
      </w:r>
    </w:p>
    <w:p w:rsidR="009E0C5C" w:rsidRDefault="009E0C5C" w:rsidP="009E0C5C">
      <w:pPr>
        <w:pStyle w:val="affa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Опыт и компетенция Участника</w:t>
      </w:r>
    </w:p>
    <w:p w:rsidR="009E0C5C" w:rsidRDefault="009E0C5C" w:rsidP="009E0C5C">
      <w:pPr>
        <w:pStyle w:val="affa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Соответствие функциональным требованиям</w:t>
      </w:r>
    </w:p>
    <w:p w:rsidR="009E0C5C" w:rsidRPr="00E06463" w:rsidRDefault="009E0C5C" w:rsidP="009E0C5C">
      <w:pPr>
        <w:pStyle w:val="affa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>
        <w:t>Соответствие нефункциональным требованиям</w:t>
      </w: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</w:rPr>
      </w:pPr>
      <w:r w:rsidRPr="00E06463">
        <w:rPr>
          <w:b/>
          <w:bCs/>
        </w:rPr>
        <w:t>Платежные условия договора:</w:t>
      </w:r>
      <w:r w:rsidRPr="00E06463">
        <w:t xml:space="preserve"> </w:t>
      </w:r>
    </w:p>
    <w:p w:rsidR="009E0C5C" w:rsidRPr="00E06463" w:rsidRDefault="009E0C5C" w:rsidP="009E0C5C">
      <w:pPr>
        <w:pStyle w:val="affa"/>
        <w:numPr>
          <w:ilvl w:val="1"/>
          <w:numId w:val="16"/>
        </w:numPr>
        <w:tabs>
          <w:tab w:val="left" w:pos="851"/>
          <w:tab w:val="left" w:pos="1843"/>
        </w:tabs>
        <w:autoSpaceDE w:val="0"/>
        <w:autoSpaceDN w:val="0"/>
        <w:contextualSpacing/>
      </w:pPr>
      <w:r w:rsidRPr="00E06463">
        <w:t>Приобретение лицензии:</w:t>
      </w:r>
    </w:p>
    <w:p w:rsidR="009E0C5C" w:rsidRPr="00E06463" w:rsidRDefault="009E0C5C" w:rsidP="00D56999">
      <w:pPr>
        <w:pStyle w:val="affa"/>
        <w:jc w:val="both"/>
      </w:pPr>
      <w:r w:rsidRPr="00E06463">
        <w:t>Лицензии на прикладное ПО оплачиваются после подписания Акта о вводе функционала в ОПЭ (при поэтапном вводе в ОПЭ, лицензии оплачиваются / передаются поэтапно) . На период ввода в ОПЭ Поставщик должен предоставить Банку временные лицензии без дополнительной оплаты. На период, предшествующий вводу в ОПЭ системы, должна быть предоставлена временная, техническая (для использования только на тестовых данных), бесплатная лицензия.</w:t>
      </w:r>
    </w:p>
    <w:p w:rsidR="009E0C5C" w:rsidRPr="003D52C8" w:rsidRDefault="009E0C5C" w:rsidP="00D56999">
      <w:pPr>
        <w:pStyle w:val="affa"/>
        <w:numPr>
          <w:ilvl w:val="1"/>
          <w:numId w:val="16"/>
        </w:numPr>
        <w:suppressAutoHyphens/>
        <w:autoSpaceDE w:val="0"/>
        <w:autoSpaceDN w:val="0"/>
        <w:contextualSpacing/>
        <w:jc w:val="both"/>
      </w:pPr>
      <w:r w:rsidRPr="003D52C8">
        <w:t xml:space="preserve">100% </w:t>
      </w:r>
      <w:proofErr w:type="spellStart"/>
      <w:r w:rsidRPr="003D52C8">
        <w:t>постоплата</w:t>
      </w:r>
      <w:proofErr w:type="spellEnd"/>
      <w:r w:rsidRPr="003D52C8">
        <w:t xml:space="preserve"> работ по соответствующему этапу в приоритете. Участник вправе предложить свою схему оплаты, но не хуже следующих условий:</w:t>
      </w:r>
    </w:p>
    <w:p w:rsidR="009E0C5C" w:rsidRPr="003D52C8" w:rsidRDefault="009E0C5C" w:rsidP="00D56999">
      <w:pPr>
        <w:suppressAutoHyphens/>
        <w:spacing w:after="0"/>
        <w:ind w:left="360"/>
        <w:jc w:val="both"/>
        <w:rPr>
          <w:rFonts w:eastAsia="Calibri"/>
          <w:szCs w:val="24"/>
          <w:lang w:eastAsia="ru-RU"/>
        </w:rPr>
      </w:pPr>
      <w:r w:rsidRPr="003D52C8">
        <w:rPr>
          <w:rFonts w:eastAsia="Calibri"/>
          <w:szCs w:val="24"/>
          <w:lang w:eastAsia="ru-RU"/>
        </w:rPr>
        <w:t xml:space="preserve">30% - аванс на работы по соответствующему этапу; </w:t>
      </w:r>
    </w:p>
    <w:p w:rsidR="009E0C5C" w:rsidRPr="003D52C8" w:rsidRDefault="009E0C5C" w:rsidP="00D56999">
      <w:pPr>
        <w:suppressAutoHyphens/>
        <w:spacing w:after="0"/>
        <w:ind w:left="360"/>
        <w:jc w:val="both"/>
        <w:rPr>
          <w:rFonts w:eastAsia="Calibri"/>
          <w:szCs w:val="24"/>
          <w:lang w:eastAsia="ru-RU"/>
        </w:rPr>
      </w:pPr>
      <w:r w:rsidRPr="003D52C8">
        <w:rPr>
          <w:rFonts w:eastAsia="Calibri"/>
          <w:szCs w:val="24"/>
          <w:lang w:eastAsia="ru-RU"/>
        </w:rPr>
        <w:t xml:space="preserve">70% - окончательный платеж по факту выполнения работ по этапу с возможностью отсрочки платежа на 3 месяца </w:t>
      </w:r>
    </w:p>
    <w:p w:rsidR="009E0C5C" w:rsidRPr="003D52C8" w:rsidRDefault="009E0C5C" w:rsidP="00D56999">
      <w:pPr>
        <w:pStyle w:val="affa"/>
        <w:numPr>
          <w:ilvl w:val="1"/>
          <w:numId w:val="16"/>
        </w:numPr>
        <w:tabs>
          <w:tab w:val="left" w:pos="851"/>
          <w:tab w:val="left" w:pos="1843"/>
        </w:tabs>
        <w:autoSpaceDE w:val="0"/>
        <w:autoSpaceDN w:val="0"/>
        <w:contextualSpacing/>
        <w:jc w:val="both"/>
      </w:pPr>
      <w:r w:rsidRPr="00E06463">
        <w:t>Валюта договора: рубли</w:t>
      </w:r>
      <w:r>
        <w:t xml:space="preserve"> с НДС (если применим)</w:t>
      </w:r>
      <w:r w:rsidRPr="00E06463">
        <w:t>.</w:t>
      </w:r>
      <w:r w:rsidRPr="00E06463">
        <w:rPr>
          <w:rFonts w:ascii="Arial" w:hAnsi="Arial" w:cs="Arial"/>
          <w:color w:val="1F497D"/>
        </w:rPr>
        <w:t xml:space="preserve"> </w:t>
      </w:r>
    </w:p>
    <w:p w:rsidR="009E0C5C" w:rsidRPr="00B304D1" w:rsidRDefault="009E0C5C" w:rsidP="00B304D1">
      <w:pPr>
        <w:pStyle w:val="affa"/>
        <w:numPr>
          <w:ilvl w:val="1"/>
          <w:numId w:val="16"/>
        </w:numPr>
        <w:tabs>
          <w:tab w:val="left" w:pos="851"/>
          <w:tab w:val="left" w:pos="1843"/>
        </w:tabs>
        <w:autoSpaceDE w:val="0"/>
        <w:autoSpaceDN w:val="0"/>
        <w:contextualSpacing/>
        <w:jc w:val="both"/>
        <w:rPr>
          <w:b/>
          <w:bCs/>
          <w:sz w:val="20"/>
          <w:szCs w:val="20"/>
        </w:rPr>
      </w:pPr>
      <w:r w:rsidRPr="00B304D1">
        <w:rPr>
          <w:rFonts w:eastAsia="Times New Roman"/>
          <w:b/>
          <w:lang w:eastAsia="en-US"/>
        </w:rPr>
        <w:lastRenderedPageBreak/>
        <w:t>Условия расчетов:</w:t>
      </w:r>
      <w:r w:rsidRPr="003D52C8">
        <w:rPr>
          <w:rFonts w:eastAsia="Times New Roman"/>
          <w:lang w:eastAsia="en-US"/>
        </w:rPr>
        <w:t xml:space="preserve"> 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3D52C8">
        <w:rPr>
          <w:rFonts w:eastAsia="Times New Roman"/>
          <w:lang w:eastAsia="en-US"/>
        </w:rPr>
        <w:t>т.ч</w:t>
      </w:r>
      <w:proofErr w:type="spellEnd"/>
      <w:r w:rsidRPr="003D52C8">
        <w:rPr>
          <w:rFonts w:eastAsia="Times New Roman"/>
          <w:lang w:eastAsia="en-US"/>
        </w:rPr>
        <w:t>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</w:t>
      </w:r>
    </w:p>
    <w:p w:rsidR="00B304D1" w:rsidRDefault="00B304D1" w:rsidP="00B304D1">
      <w:pPr>
        <w:spacing w:after="0" w:line="240" w:lineRule="auto"/>
        <w:ind w:left="709"/>
        <w:jc w:val="both"/>
        <w:rPr>
          <w:rFonts w:eastAsia="Calibri"/>
        </w:rPr>
      </w:pPr>
    </w:p>
    <w:p w:rsidR="00B304D1" w:rsidRPr="00B304D1" w:rsidRDefault="00B304D1" w:rsidP="00B304D1">
      <w:pPr>
        <w:spacing w:after="0" w:line="240" w:lineRule="auto"/>
        <w:ind w:left="709"/>
        <w:jc w:val="both"/>
        <w:rPr>
          <w:rFonts w:eastAsia="Calibri"/>
        </w:rPr>
      </w:pPr>
      <w:r w:rsidRPr="00B304D1">
        <w:rPr>
          <w:rFonts w:eastAsia="Calibri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709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709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709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B304D1" w:rsidRDefault="00B304D1" w:rsidP="00B304D1">
      <w:pPr>
        <w:spacing w:after="0" w:line="240" w:lineRule="auto"/>
        <w:ind w:left="709"/>
        <w:jc w:val="both"/>
        <w:rPr>
          <w:b/>
          <w:bCs/>
          <w:highlight w:val="yellow"/>
        </w:rPr>
      </w:pPr>
      <w:r w:rsidRPr="00B304D1">
        <w:rPr>
          <w:rFonts w:eastAsia="Calibri"/>
        </w:rPr>
        <w:t>- комбинацию вышеперечисленных способов обеспечения обязательств</w:t>
      </w:r>
    </w:p>
    <w:p w:rsidR="009E0C5C" w:rsidRPr="00E06463" w:rsidRDefault="009E0C5C" w:rsidP="009E0C5C">
      <w:pPr>
        <w:pStyle w:val="affa"/>
        <w:tabs>
          <w:tab w:val="left" w:pos="851"/>
          <w:tab w:val="left" w:pos="1843"/>
        </w:tabs>
      </w:pP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</w:rPr>
      </w:pPr>
      <w:r w:rsidRPr="00E06463">
        <w:rPr>
          <w:b/>
        </w:rPr>
        <w:t>Условия выполнения работ/оказания услуг:</w:t>
      </w:r>
    </w:p>
    <w:p w:rsidR="009E0C5C" w:rsidRPr="00E06463" w:rsidRDefault="009E0C5C" w:rsidP="00D56999">
      <w:pPr>
        <w:pStyle w:val="affa"/>
        <w:numPr>
          <w:ilvl w:val="1"/>
          <w:numId w:val="41"/>
        </w:numPr>
        <w:autoSpaceDE w:val="0"/>
        <w:autoSpaceDN w:val="0"/>
        <w:contextualSpacing/>
        <w:jc w:val="both"/>
      </w:pPr>
      <w:r w:rsidRPr="00E06463">
        <w:t xml:space="preserve">Выполнение работ/оказание услуг осуществляется в установленный срок силами Поставщика на собственной территории и на территории ПАО «МТС-Банк» по следующим адресам: </w:t>
      </w:r>
      <w:r w:rsidRPr="00E06463">
        <w:rPr>
          <w:bCs/>
        </w:rPr>
        <w:t>115432, Москва г, пр-т Андропова, д. 18 корп.1</w:t>
      </w:r>
    </w:p>
    <w:p w:rsidR="009E0C5C" w:rsidRPr="00E06463" w:rsidRDefault="009E0C5C" w:rsidP="00D56999">
      <w:pPr>
        <w:pStyle w:val="affa"/>
        <w:numPr>
          <w:ilvl w:val="1"/>
          <w:numId w:val="41"/>
        </w:numPr>
        <w:autoSpaceDE w:val="0"/>
        <w:autoSpaceDN w:val="0"/>
        <w:contextualSpacing/>
        <w:jc w:val="both"/>
      </w:pPr>
      <w:r w:rsidRPr="00E06463">
        <w:t xml:space="preserve">По факту выполнения работ/оказания услуг Поставщик передает комплект документов на данную продукцию: </w:t>
      </w:r>
      <w:r w:rsidRPr="00E06463">
        <w:rPr>
          <w:u w:val="single"/>
        </w:rPr>
        <w:t>руководство пользователя, руководство администратора, инструкции по эксплуатации (на русском языке</w:t>
      </w:r>
      <w:r w:rsidRPr="00E06463">
        <w:t xml:space="preserve">). </w:t>
      </w:r>
    </w:p>
    <w:p w:rsidR="009E0C5C" w:rsidRPr="00E06463" w:rsidRDefault="009E0C5C" w:rsidP="00D56999">
      <w:pPr>
        <w:numPr>
          <w:ilvl w:val="1"/>
          <w:numId w:val="41"/>
        </w:numPr>
        <w:spacing w:after="0" w:line="240" w:lineRule="auto"/>
        <w:jc w:val="both"/>
      </w:pPr>
      <w:r w:rsidRPr="00E06463">
        <w:t>Поставщик обязан исправить работы/оказанные услуги, не соответствующие требованиям по качеству, в срок не более 10 календарных дней с момента получения Акта недостатков по качеству, рекламаций, дефектной ведомости и/или прочих аргументированных документов-претензий от Банка;</w:t>
      </w:r>
    </w:p>
    <w:p w:rsidR="009E0C5C" w:rsidRPr="00E06463" w:rsidRDefault="009E0C5C" w:rsidP="00D56999">
      <w:pPr>
        <w:numPr>
          <w:ilvl w:val="1"/>
          <w:numId w:val="41"/>
        </w:numPr>
        <w:spacing w:after="0" w:line="240" w:lineRule="auto"/>
        <w:jc w:val="both"/>
      </w:pPr>
      <w:r w:rsidRPr="00E06463">
        <w:rPr>
          <w:szCs w:val="24"/>
        </w:rPr>
        <w:t>Поставщик принимает на себя обязательства выполнить работы собственными силами. Допускается привлечение субподрядчиков по согласованию с Банком, при этом Победитель несет полную ответственность за результаты деятельности/бездействие привлекаемых третьих лиц.</w:t>
      </w:r>
    </w:p>
    <w:p w:rsidR="009E0C5C" w:rsidRPr="00E06463" w:rsidRDefault="009E0C5C" w:rsidP="00D56999">
      <w:pPr>
        <w:numPr>
          <w:ilvl w:val="0"/>
          <w:numId w:val="16"/>
        </w:numPr>
        <w:suppressAutoHyphens/>
        <w:spacing w:after="0" w:line="240" w:lineRule="auto"/>
        <w:jc w:val="both"/>
      </w:pPr>
      <w:r w:rsidRPr="00E06463">
        <w:rPr>
          <w:b/>
        </w:rPr>
        <w:t>Гарантийные обязательства Поставщика:</w:t>
      </w:r>
      <w:r w:rsidRPr="00E06463">
        <w:rPr>
          <w:i/>
        </w:rPr>
        <w:t xml:space="preserve"> </w:t>
      </w:r>
    </w:p>
    <w:p w:rsidR="009E0C5C" w:rsidRPr="00E06463" w:rsidRDefault="009E0C5C" w:rsidP="00D56999">
      <w:pPr>
        <w:suppressAutoHyphens/>
        <w:spacing w:after="0" w:line="240" w:lineRule="auto"/>
        <w:ind w:left="720"/>
        <w:contextualSpacing/>
        <w:jc w:val="both"/>
      </w:pPr>
      <w:r w:rsidRPr="00E06463">
        <w:t xml:space="preserve">Гарантийный срок на выполненную работу/услугу должен составлять 12 (двенадцать) месяцев со дня подписания </w:t>
      </w:r>
      <w:bookmarkStart w:id="159" w:name="OLE_LINK2"/>
      <w:bookmarkStart w:id="160" w:name="OLE_LINK3"/>
      <w:r w:rsidRPr="00E06463">
        <w:t xml:space="preserve">Акта сдачи-приемки </w:t>
      </w:r>
      <w:bookmarkEnd w:id="159"/>
      <w:bookmarkEnd w:id="160"/>
      <w:r w:rsidRPr="00E06463">
        <w:t>на выполненную работу/услугу.</w:t>
      </w:r>
    </w:p>
    <w:p w:rsidR="009E0C5C" w:rsidRPr="00E06463" w:rsidRDefault="009E0C5C" w:rsidP="009E0C5C">
      <w:pPr>
        <w:suppressAutoHyphens/>
        <w:spacing w:after="0" w:line="240" w:lineRule="auto"/>
        <w:ind w:left="720"/>
        <w:contextualSpacing/>
        <w:jc w:val="both"/>
      </w:pP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i/>
        </w:rPr>
      </w:pPr>
      <w:r w:rsidRPr="00E06463">
        <w:rPr>
          <w:b/>
        </w:rPr>
        <w:t xml:space="preserve">Требования к послепродажному обслуживанию. </w:t>
      </w:r>
    </w:p>
    <w:p w:rsidR="009E0C5C" w:rsidRPr="00E06463" w:rsidRDefault="009E0C5C" w:rsidP="009E0C5C">
      <w:pPr>
        <w:pStyle w:val="affa"/>
        <w:numPr>
          <w:ilvl w:val="1"/>
          <w:numId w:val="42"/>
        </w:numPr>
        <w:suppressAutoHyphens/>
        <w:autoSpaceDE w:val="0"/>
        <w:autoSpaceDN w:val="0"/>
        <w:contextualSpacing/>
        <w:jc w:val="both"/>
      </w:pPr>
      <w:r w:rsidRPr="00E06463">
        <w:t>Обеспечение технической поддержки в режиме 24 часа в сутки, 7 дней в неделю;</w:t>
      </w:r>
    </w:p>
    <w:p w:rsidR="009E0C5C" w:rsidRPr="00E06463" w:rsidRDefault="009E0C5C" w:rsidP="009E0C5C">
      <w:pPr>
        <w:pStyle w:val="affa"/>
        <w:numPr>
          <w:ilvl w:val="1"/>
          <w:numId w:val="42"/>
        </w:numPr>
        <w:suppressAutoHyphens/>
        <w:autoSpaceDE w:val="0"/>
        <w:autoSpaceDN w:val="0"/>
        <w:contextualSpacing/>
        <w:jc w:val="both"/>
      </w:pPr>
      <w:r w:rsidRPr="00E06463">
        <w:t xml:space="preserve">Обеспечение сопровождение сервиса по </w:t>
      </w:r>
      <w:proofErr w:type="spellStart"/>
      <w:r w:rsidRPr="00E06463">
        <w:t>фрод</w:t>
      </w:r>
      <w:proofErr w:type="spellEnd"/>
      <w:r w:rsidRPr="00E06463">
        <w:t xml:space="preserve">-мониторингу </w:t>
      </w:r>
    </w:p>
    <w:p w:rsidR="009E0C5C" w:rsidRPr="00E06463" w:rsidRDefault="009E0C5C" w:rsidP="009E0C5C">
      <w:pPr>
        <w:pStyle w:val="affa"/>
        <w:numPr>
          <w:ilvl w:val="1"/>
          <w:numId w:val="42"/>
        </w:numPr>
        <w:suppressAutoHyphens/>
        <w:autoSpaceDE w:val="0"/>
        <w:autoSpaceDN w:val="0"/>
        <w:contextualSpacing/>
        <w:jc w:val="both"/>
      </w:pPr>
      <w:r w:rsidRPr="00E06463">
        <w:t xml:space="preserve">Требуемый срок действия договора Сопровождения – 1 год с возможной пролонгацией. Поставщик должен указать принципы ценообразования  договоров на сопровождение. Стоимость указывается со всеми применимыми налогами. </w:t>
      </w:r>
    </w:p>
    <w:p w:rsidR="009E0C5C" w:rsidRPr="00E06463" w:rsidRDefault="009E0C5C" w:rsidP="009E0C5C">
      <w:pPr>
        <w:pStyle w:val="affa"/>
        <w:suppressAutoHyphens/>
        <w:ind w:left="1080"/>
        <w:jc w:val="both"/>
      </w:pP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i/>
        </w:rPr>
      </w:pPr>
      <w:r w:rsidRPr="00E06463">
        <w:rPr>
          <w:b/>
        </w:rPr>
        <w:t xml:space="preserve">Специальные требования к поставщику/подрядчику. </w:t>
      </w:r>
    </w:p>
    <w:p w:rsidR="009E0C5C" w:rsidRPr="00E06463" w:rsidRDefault="009E0C5C" w:rsidP="009E0C5C">
      <w:pPr>
        <w:pStyle w:val="affa"/>
        <w:numPr>
          <w:ilvl w:val="1"/>
          <w:numId w:val="16"/>
        </w:numPr>
        <w:spacing w:after="200"/>
        <w:contextualSpacing/>
        <w:jc w:val="both"/>
      </w:pPr>
      <w:r>
        <w:rPr>
          <w:rFonts w:eastAsia="Times New Roman"/>
          <w:lang w:eastAsia="en-US"/>
        </w:rPr>
        <w:lastRenderedPageBreak/>
        <w:t xml:space="preserve">Участник </w:t>
      </w:r>
      <w:r w:rsidRPr="004C09EE">
        <w:rPr>
          <w:rFonts w:eastAsia="Times New Roman"/>
          <w:lang w:eastAsia="en-US"/>
        </w:rPr>
        <w:t xml:space="preserve">должен иметь доказанный </w:t>
      </w:r>
      <w:r w:rsidRPr="00E06463">
        <w:t>практическ</w:t>
      </w:r>
      <w:r>
        <w:t>ий</w:t>
      </w:r>
      <w:r w:rsidRPr="00E06463">
        <w:t xml:space="preserve"> опыт реализации проектов по внедрению систем и сервисов по анализу и предотвращению транзакционного  мошенничества  за </w:t>
      </w:r>
      <w:r w:rsidRPr="00B304D1">
        <w:t xml:space="preserve">последние </w:t>
      </w:r>
      <w:r w:rsidR="00B304D1" w:rsidRPr="00B304D1">
        <w:t>5</w:t>
      </w:r>
      <w:r w:rsidRPr="00B304D1">
        <w:t xml:space="preserve"> </w:t>
      </w:r>
      <w:r w:rsidR="00B304D1" w:rsidRPr="00B304D1">
        <w:t>лет</w:t>
      </w:r>
      <w:r w:rsidRPr="00B304D1">
        <w:rPr>
          <w:rFonts w:eastAsia="Times New Roman"/>
          <w:lang w:eastAsia="en-US"/>
        </w:rPr>
        <w:t xml:space="preserve"> (информацию</w:t>
      </w:r>
      <w:r w:rsidRPr="004C09EE">
        <w:rPr>
          <w:rFonts w:eastAsia="Times New Roman"/>
          <w:lang w:eastAsia="en-US"/>
        </w:rPr>
        <w:t xml:space="preserve">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4C09EE">
        <w:rPr>
          <w:rFonts w:eastAsia="Times New Roman"/>
          <w:lang w:eastAsia="en-US"/>
        </w:rPr>
        <w:t>mail</w:t>
      </w:r>
      <w:proofErr w:type="spellEnd"/>
      <w:r w:rsidRPr="004C09EE">
        <w:rPr>
          <w:rFonts w:eastAsia="Times New Roman"/>
          <w:lang w:eastAsia="en-US"/>
        </w:rPr>
        <w:t xml:space="preserve"> представителя клиента, отзывы заказчиков – копии, заверенные руководителем организации).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  <w:r>
        <w:t>.</w:t>
      </w:r>
    </w:p>
    <w:p w:rsidR="009E0C5C" w:rsidRPr="00E06463" w:rsidRDefault="009E0C5C" w:rsidP="00D56999">
      <w:pPr>
        <w:pStyle w:val="affa"/>
        <w:numPr>
          <w:ilvl w:val="1"/>
          <w:numId w:val="16"/>
        </w:numPr>
        <w:spacing w:after="200"/>
        <w:ind w:left="851" w:hanging="425"/>
        <w:contextualSpacing/>
        <w:jc w:val="both"/>
      </w:pPr>
      <w:r w:rsidRPr="00E06463">
        <w:t>Поставщик должен указать максимальные количественные показатели реализованных проектов в банковской сфере (не менее ТРЕХ).</w:t>
      </w:r>
    </w:p>
    <w:p w:rsidR="009E0C5C" w:rsidRPr="00E06463" w:rsidRDefault="009E0C5C" w:rsidP="00D56999">
      <w:pPr>
        <w:pStyle w:val="affa"/>
        <w:numPr>
          <w:ilvl w:val="1"/>
          <w:numId w:val="16"/>
        </w:numPr>
        <w:spacing w:after="200"/>
        <w:ind w:left="851" w:hanging="425"/>
        <w:contextualSpacing/>
        <w:jc w:val="both"/>
      </w:pPr>
      <w:r w:rsidRPr="00E06463">
        <w:t xml:space="preserve">При необходимости, до заключения договора Поставщик должен организовать </w:t>
      </w:r>
      <w:proofErr w:type="spellStart"/>
      <w:r w:rsidRPr="00E06463">
        <w:t>референс</w:t>
      </w:r>
      <w:proofErr w:type="spellEnd"/>
      <w:r w:rsidRPr="00E06463">
        <w:t xml:space="preserve"> визит в компанию финансового сектора, в которой Поставщиком был успешно завершен аналогичный проект.</w:t>
      </w:r>
    </w:p>
    <w:p w:rsidR="009E0C5C" w:rsidRPr="00E06463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i/>
        </w:rPr>
      </w:pPr>
      <w:r w:rsidRPr="00E06463">
        <w:rPr>
          <w:b/>
        </w:rPr>
        <w:t xml:space="preserve">Порядок формирования цены Договора. </w:t>
      </w:r>
    </w:p>
    <w:p w:rsidR="009E0C5C" w:rsidRDefault="009E0C5C" w:rsidP="009E0C5C">
      <w:pPr>
        <w:pStyle w:val="affa"/>
        <w:suppressAutoHyphens/>
        <w:jc w:val="both"/>
      </w:pPr>
      <w:r w:rsidRPr="00E06463">
        <w:t>Цена договора определяется суммированием стоимости лицензий ПО, работ по разработке и внедрению программного комплекса, стоимости технического обслуживания за определенный период.</w:t>
      </w:r>
    </w:p>
    <w:p w:rsidR="009E0C5C" w:rsidRPr="003D52C8" w:rsidRDefault="009E0C5C" w:rsidP="009E0C5C">
      <w:pPr>
        <w:pStyle w:val="affa"/>
        <w:suppressAutoHyphens/>
        <w:jc w:val="both"/>
      </w:pPr>
    </w:p>
    <w:p w:rsidR="009E0C5C" w:rsidRPr="009E0C5C" w:rsidRDefault="009E0C5C" w:rsidP="009E0C5C">
      <w:pPr>
        <w:pStyle w:val="affa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b/>
        </w:rPr>
      </w:pPr>
      <w:r w:rsidRPr="009E0C5C">
        <w:rPr>
          <w:b/>
        </w:rPr>
        <w:t>Требования к сервису:</w:t>
      </w:r>
    </w:p>
    <w:p w:rsidR="009E0C5C" w:rsidRDefault="009E0C5C" w:rsidP="009E0C5C">
      <w:pPr>
        <w:pStyle w:val="affa"/>
        <w:numPr>
          <w:ilvl w:val="1"/>
          <w:numId w:val="16"/>
        </w:numPr>
        <w:suppressAutoHyphens/>
        <w:autoSpaceDE w:val="0"/>
        <w:autoSpaceDN w:val="0"/>
        <w:contextualSpacing/>
        <w:jc w:val="both"/>
      </w:pPr>
      <w:r w:rsidRPr="003D52C8">
        <w:t xml:space="preserve">В приложении №1 к Техническому заданию «Бизнес-требования к сервису </w:t>
      </w:r>
      <w:proofErr w:type="spellStart"/>
      <w:r w:rsidRPr="003D52C8">
        <w:t>фрод</w:t>
      </w:r>
      <w:proofErr w:type="spellEnd"/>
      <w:r w:rsidRPr="003D52C8">
        <w:t xml:space="preserve">-мониторинга транзакционных операций» установлены обязательные и </w:t>
      </w:r>
      <w:r w:rsidR="006A3FD9">
        <w:t>дополнительные</w:t>
      </w:r>
      <w:r w:rsidRPr="003D52C8">
        <w:t xml:space="preserve"> требования</w:t>
      </w:r>
      <w:r w:rsidR="006A3FD9">
        <w:t xml:space="preserve"> к Сервису</w:t>
      </w:r>
      <w:r w:rsidRPr="003D52C8">
        <w:t xml:space="preserve">. Не соответствие хотя бы одному обязательному требованию является стоп-фактором и </w:t>
      </w:r>
      <w:r w:rsidR="006A3FD9">
        <w:t xml:space="preserve">не предполагает дальнейшего участия компании </w:t>
      </w:r>
      <w:r w:rsidRPr="003D52C8">
        <w:t>в процедуре выбора поставщика.</w:t>
      </w:r>
    </w:p>
    <w:p w:rsidR="009E0C5C" w:rsidRPr="009E0C5C" w:rsidRDefault="009E0C5C" w:rsidP="006A3FD9">
      <w:pPr>
        <w:suppressAutoHyphens/>
        <w:spacing w:after="0"/>
        <w:ind w:left="851" w:hanging="425"/>
        <w:jc w:val="both"/>
        <w:rPr>
          <w:szCs w:val="24"/>
        </w:rPr>
      </w:pPr>
      <w:r>
        <w:rPr>
          <w:szCs w:val="24"/>
        </w:rPr>
        <w:t xml:space="preserve">10.2. </w:t>
      </w:r>
      <w:r w:rsidRPr="003D52C8">
        <w:rPr>
          <w:rFonts w:eastAsia="Calibri"/>
          <w:szCs w:val="24"/>
          <w:lang w:eastAsia="ru-RU"/>
        </w:rPr>
        <w:t xml:space="preserve">Соответствие </w:t>
      </w:r>
      <w:r w:rsidR="006A3FD9">
        <w:rPr>
          <w:rFonts w:eastAsia="Calibri"/>
          <w:szCs w:val="24"/>
          <w:lang w:eastAsia="ru-RU"/>
        </w:rPr>
        <w:t>дополнительным т</w:t>
      </w:r>
      <w:r w:rsidRPr="003D52C8">
        <w:rPr>
          <w:rFonts w:eastAsia="Calibri"/>
          <w:szCs w:val="24"/>
          <w:lang w:eastAsia="ru-RU"/>
        </w:rPr>
        <w:t>ребованиям является преимуществом при определении победителя.</w:t>
      </w:r>
      <w:r w:rsidR="006A3FD9">
        <w:rPr>
          <w:rFonts w:eastAsia="Calibri"/>
          <w:szCs w:val="24"/>
          <w:lang w:eastAsia="ru-RU"/>
        </w:rPr>
        <w:t xml:space="preserve"> </w:t>
      </w:r>
      <w:r>
        <w:rPr>
          <w:szCs w:val="24"/>
        </w:rPr>
        <w:t xml:space="preserve">Приложение №1 к Техническому заданию </w:t>
      </w:r>
      <w:r w:rsidRPr="003D52C8">
        <w:rPr>
          <w:szCs w:val="24"/>
        </w:rPr>
        <w:t xml:space="preserve">«Бизнес-требования к сервису </w:t>
      </w:r>
      <w:proofErr w:type="spellStart"/>
      <w:r w:rsidRPr="003D52C8">
        <w:rPr>
          <w:szCs w:val="24"/>
        </w:rPr>
        <w:t>фрод</w:t>
      </w:r>
      <w:proofErr w:type="spellEnd"/>
      <w:r w:rsidRPr="003D52C8">
        <w:rPr>
          <w:szCs w:val="24"/>
        </w:rPr>
        <w:t>-мониторинга транзакционных операций»</w:t>
      </w:r>
      <w:r>
        <w:rPr>
          <w:szCs w:val="24"/>
        </w:rPr>
        <w:t xml:space="preserve"> будет направлено персонально Участникам, имеющим с Банком действующее Соглашение о неразглашении конфиденциальной информации. </w:t>
      </w:r>
    </w:p>
    <w:p w:rsidR="009E0C5C" w:rsidRPr="00EA37D7" w:rsidRDefault="009E0C5C" w:rsidP="006A3FD9">
      <w:pPr>
        <w:ind w:left="851"/>
        <w:rPr>
          <w:i/>
          <w:szCs w:val="24"/>
        </w:rPr>
      </w:pPr>
      <w:r>
        <w:rPr>
          <w:szCs w:val="24"/>
        </w:rPr>
        <w:t xml:space="preserve">Форма Соглашения для подписания может быть  направлена по запросу, отправленному </w:t>
      </w:r>
      <w:r w:rsidRPr="003D52C8">
        <w:rPr>
          <w:szCs w:val="24"/>
        </w:rPr>
        <w:t xml:space="preserve"> </w:t>
      </w:r>
      <w:r>
        <w:rPr>
          <w:szCs w:val="24"/>
        </w:rPr>
        <w:t xml:space="preserve"> на</w:t>
      </w:r>
      <w:r w:rsidRPr="003D52C8">
        <w:rPr>
          <w:szCs w:val="24"/>
        </w:rPr>
        <w:t xml:space="preserve"> </w:t>
      </w:r>
      <w:hyperlink r:id="rId21" w:history="1">
        <w:r w:rsidRPr="00B16D9F">
          <w:rPr>
            <w:rStyle w:val="af0"/>
            <w:szCs w:val="24"/>
            <w:lang w:val="en-US"/>
          </w:rPr>
          <w:t>Zakupki</w:t>
        </w:r>
        <w:r w:rsidRPr="003D52C8">
          <w:rPr>
            <w:rStyle w:val="af0"/>
            <w:szCs w:val="24"/>
          </w:rPr>
          <w:t>@</w:t>
        </w:r>
        <w:proofErr w:type="spellStart"/>
        <w:r w:rsidRPr="00B16D9F">
          <w:rPr>
            <w:rStyle w:val="af0"/>
            <w:szCs w:val="24"/>
            <w:lang w:val="en-US"/>
          </w:rPr>
          <w:t>mtsbank</w:t>
        </w:r>
        <w:proofErr w:type="spellEnd"/>
        <w:r w:rsidRPr="003D52C8">
          <w:rPr>
            <w:rStyle w:val="af0"/>
            <w:szCs w:val="24"/>
          </w:rPr>
          <w:t>.</w:t>
        </w:r>
        <w:proofErr w:type="spellStart"/>
        <w:r w:rsidRPr="00B16D9F">
          <w:rPr>
            <w:rStyle w:val="af0"/>
            <w:szCs w:val="24"/>
            <w:lang w:val="en-US"/>
          </w:rPr>
          <w:t>ru</w:t>
        </w:r>
        <w:proofErr w:type="spellEnd"/>
      </w:hyperlink>
      <w:r w:rsidRPr="003D52C8">
        <w:rPr>
          <w:szCs w:val="24"/>
        </w:rPr>
        <w:t xml:space="preserve"> </w:t>
      </w:r>
      <w:bookmarkStart w:id="161" w:name="_Toc398199807"/>
    </w:p>
    <w:bookmarkEnd w:id="161"/>
    <w:p w:rsidR="009E0C5C" w:rsidRPr="00D95834" w:rsidRDefault="009E0C5C" w:rsidP="009E0C5C">
      <w:pPr>
        <w:suppressAutoHyphens/>
        <w:spacing w:after="0"/>
        <w:jc w:val="both"/>
        <w:rPr>
          <w:b/>
        </w:rPr>
      </w:pPr>
    </w:p>
    <w:p w:rsidR="009E0C5C" w:rsidRPr="003D52C8" w:rsidRDefault="009E0C5C" w:rsidP="009E0C5C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</w:rPr>
      </w:pPr>
      <w:r w:rsidRPr="003D52C8">
        <w:rPr>
          <w:b/>
        </w:rPr>
        <w:t xml:space="preserve">Требования к содержанию </w:t>
      </w:r>
      <w:r>
        <w:rPr>
          <w:b/>
        </w:rPr>
        <w:t>коммерческого предложения</w:t>
      </w:r>
      <w:r w:rsidRPr="003D52C8">
        <w:rPr>
          <w:b/>
        </w:rPr>
        <w:t>:</w:t>
      </w:r>
    </w:p>
    <w:p w:rsidR="009E0C5C" w:rsidRPr="00D95834" w:rsidRDefault="009E0C5C" w:rsidP="009E0C5C">
      <w:pPr>
        <w:suppressAutoHyphens/>
        <w:spacing w:after="0"/>
        <w:jc w:val="both"/>
        <w:rPr>
          <w:szCs w:val="24"/>
        </w:rPr>
      </w:pPr>
      <w:r w:rsidRPr="00D95834">
        <w:rPr>
          <w:szCs w:val="24"/>
        </w:rPr>
        <w:t xml:space="preserve">К </w:t>
      </w:r>
      <w:r>
        <w:rPr>
          <w:szCs w:val="24"/>
        </w:rPr>
        <w:t>коммерческо</w:t>
      </w:r>
      <w:bookmarkStart w:id="162" w:name="_GoBack"/>
      <w:bookmarkEnd w:id="162"/>
      <w:r>
        <w:rPr>
          <w:szCs w:val="24"/>
        </w:rPr>
        <w:t>му предложению</w:t>
      </w:r>
      <w:r w:rsidRPr="00D95834">
        <w:rPr>
          <w:szCs w:val="24"/>
        </w:rPr>
        <w:t xml:space="preserve"> участник прилагает</w:t>
      </w:r>
      <w:r>
        <w:rPr>
          <w:szCs w:val="24"/>
        </w:rPr>
        <w:t xml:space="preserve"> в том числе</w:t>
      </w:r>
      <w:r w:rsidRPr="00D95834">
        <w:rPr>
          <w:szCs w:val="24"/>
        </w:rPr>
        <w:t>:</w:t>
      </w:r>
    </w:p>
    <w:p w:rsidR="009E0C5C" w:rsidRPr="003D52C8" w:rsidRDefault="009E0C5C" w:rsidP="009E0C5C">
      <w:pPr>
        <w:pStyle w:val="affa"/>
        <w:numPr>
          <w:ilvl w:val="0"/>
          <w:numId w:val="43"/>
        </w:numPr>
        <w:autoSpaceDE w:val="0"/>
        <w:autoSpaceDN w:val="0"/>
        <w:contextualSpacing/>
        <w:jc w:val="both"/>
        <w:rPr>
          <w:rFonts w:eastAsia="Times New Roman"/>
          <w:lang w:eastAsia="en-US"/>
        </w:rPr>
      </w:pPr>
      <w:r w:rsidRPr="00B304D1">
        <w:rPr>
          <w:rFonts w:eastAsia="Times New Roman"/>
          <w:lang w:eastAsia="en-US"/>
        </w:rPr>
        <w:t xml:space="preserve">Презентацию участника с описанием опыта работы на российском рынке за последние </w:t>
      </w:r>
      <w:r w:rsidR="00B304D1" w:rsidRPr="00B304D1">
        <w:rPr>
          <w:rFonts w:eastAsia="Times New Roman"/>
          <w:lang w:eastAsia="en-US"/>
        </w:rPr>
        <w:t>5</w:t>
      </w:r>
      <w:r w:rsidRPr="00B304D1">
        <w:rPr>
          <w:rFonts w:eastAsia="Times New Roman"/>
          <w:lang w:eastAsia="en-US"/>
        </w:rPr>
        <w:t xml:space="preserve"> </w:t>
      </w:r>
      <w:r w:rsidR="00B304D1" w:rsidRPr="00B304D1">
        <w:rPr>
          <w:rFonts w:eastAsia="Times New Roman"/>
          <w:lang w:eastAsia="en-US"/>
        </w:rPr>
        <w:t>лет</w:t>
      </w:r>
      <w:r w:rsidRPr="00B304D1">
        <w:rPr>
          <w:rFonts w:eastAsia="Times New Roman"/>
          <w:lang w:eastAsia="en-US"/>
        </w:rPr>
        <w:t xml:space="preserve">, опыта внедрения сервисов/систем </w:t>
      </w:r>
      <w:proofErr w:type="spellStart"/>
      <w:r w:rsidRPr="00B304D1">
        <w:rPr>
          <w:rFonts w:eastAsia="Times New Roman"/>
          <w:lang w:eastAsia="en-US"/>
        </w:rPr>
        <w:t>фрод</w:t>
      </w:r>
      <w:proofErr w:type="spellEnd"/>
      <w:r w:rsidRPr="00B304D1">
        <w:rPr>
          <w:rFonts w:eastAsia="Times New Roman"/>
          <w:lang w:eastAsia="en-US"/>
        </w:rPr>
        <w:t>-мониторинга платежных транзакций, команды участника,</w:t>
      </w:r>
      <w:r w:rsidRPr="003D52C8">
        <w:rPr>
          <w:rFonts w:eastAsia="Times New Roman"/>
          <w:lang w:eastAsia="en-US"/>
        </w:rPr>
        <w:t xml:space="preserve"> ФИО представителя участника</w:t>
      </w:r>
      <w:r>
        <w:rPr>
          <w:rFonts w:eastAsia="Times New Roman"/>
          <w:lang w:eastAsia="en-US"/>
        </w:rPr>
        <w:t xml:space="preserve">. </w:t>
      </w:r>
    </w:p>
    <w:p w:rsidR="009E0C5C" w:rsidRPr="00D95834" w:rsidRDefault="009E0C5C" w:rsidP="009E0C5C">
      <w:pPr>
        <w:pStyle w:val="ABCNormal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95834">
        <w:rPr>
          <w:rFonts w:ascii="Times New Roman" w:hAnsi="Times New Roman" w:cs="Times New Roman"/>
          <w:color w:val="auto"/>
          <w:sz w:val="24"/>
          <w:szCs w:val="24"/>
        </w:rPr>
        <w:t>Описание предлагаемого решения. Описание должно раскрывать функционал предлагаемого решения</w:t>
      </w:r>
    </w:p>
    <w:p w:rsidR="009E0C5C" w:rsidRPr="00D95834" w:rsidRDefault="009E0C5C" w:rsidP="009E0C5C">
      <w:pPr>
        <w:pStyle w:val="ABCNormal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3" w:name="_MON_1535283796"/>
      <w:bookmarkStart w:id="164" w:name="_MON_1485246657"/>
      <w:bookmarkEnd w:id="163"/>
      <w:bookmarkEnd w:id="164"/>
      <w:r w:rsidRPr="00D95834">
        <w:rPr>
          <w:rFonts w:ascii="Times New Roman" w:hAnsi="Times New Roman" w:cs="Times New Roman"/>
          <w:color w:val="auto"/>
          <w:sz w:val="24"/>
          <w:szCs w:val="24"/>
        </w:rPr>
        <w:t xml:space="preserve">Условия организации </w:t>
      </w:r>
      <w:proofErr w:type="spellStart"/>
      <w:r w:rsidRPr="00D95834">
        <w:rPr>
          <w:rFonts w:ascii="Times New Roman" w:hAnsi="Times New Roman" w:cs="Times New Roman"/>
          <w:color w:val="auto"/>
          <w:sz w:val="24"/>
          <w:szCs w:val="24"/>
        </w:rPr>
        <w:t>референс</w:t>
      </w:r>
      <w:proofErr w:type="spellEnd"/>
      <w:r w:rsidRPr="00D95834">
        <w:rPr>
          <w:rFonts w:ascii="Times New Roman" w:hAnsi="Times New Roman" w:cs="Times New Roman"/>
          <w:color w:val="auto"/>
          <w:sz w:val="24"/>
          <w:szCs w:val="24"/>
        </w:rPr>
        <w:t>-визита к клиенту участника, для демонстрации успешной реализации решения участника</w:t>
      </w:r>
    </w:p>
    <w:p w:rsidR="009E0C5C" w:rsidRPr="00D466E8" w:rsidRDefault="009E0C5C" w:rsidP="009E0C5C">
      <w:pPr>
        <w:suppressAutoHyphens/>
        <w:spacing w:after="0"/>
        <w:jc w:val="both"/>
        <w:rPr>
          <w:szCs w:val="24"/>
        </w:rPr>
      </w:pP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sectPr w:rsidR="009E0C5C" w:rsidSect="00F74D38">
      <w:footerReference w:type="even" r:id="rId22"/>
      <w:footerReference w:type="default" r:id="rId23"/>
      <w:headerReference w:type="first" r:id="rId24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99" w:rsidRDefault="00D56999" w:rsidP="00D86182">
      <w:pPr>
        <w:spacing w:after="0" w:line="240" w:lineRule="auto"/>
      </w:pPr>
      <w:r>
        <w:separator/>
      </w:r>
    </w:p>
  </w:endnote>
  <w:endnote w:type="continuationSeparator" w:id="0">
    <w:p w:rsidR="00D56999" w:rsidRDefault="00D56999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99" w:rsidRDefault="00D56999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D56999" w:rsidRDefault="00D5699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99" w:rsidRDefault="00D56999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1F328B">
      <w:rPr>
        <w:rStyle w:val="affe"/>
        <w:noProof/>
      </w:rPr>
      <w:t>23</w:t>
    </w:r>
    <w:r>
      <w:rPr>
        <w:rStyle w:val="affe"/>
      </w:rPr>
      <w:fldChar w:fldCharType="end"/>
    </w:r>
  </w:p>
  <w:p w:rsidR="00D56999" w:rsidRDefault="00D56999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99" w:rsidRDefault="00D56999" w:rsidP="00D86182">
      <w:pPr>
        <w:spacing w:after="0" w:line="240" w:lineRule="auto"/>
      </w:pPr>
      <w:r>
        <w:separator/>
      </w:r>
    </w:p>
  </w:footnote>
  <w:footnote w:type="continuationSeparator" w:id="0">
    <w:p w:rsidR="00D56999" w:rsidRDefault="00D56999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D56999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56999" w:rsidRPr="00011453" w:rsidRDefault="00D56999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56999" w:rsidRDefault="00D56999">
          <w:pPr>
            <w:pStyle w:val="aa"/>
            <w:rPr>
              <w:b/>
              <w:bCs/>
            </w:rPr>
          </w:pPr>
        </w:p>
      </w:tc>
    </w:tr>
  </w:tbl>
  <w:p w:rsidR="00D56999" w:rsidRDefault="00D56999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9EF0AF7"/>
    <w:multiLevelType w:val="hybridMultilevel"/>
    <w:tmpl w:val="C06EE1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4">
    <w:nsid w:val="259B5451"/>
    <w:multiLevelType w:val="hybridMultilevel"/>
    <w:tmpl w:val="EFC2A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2F272B62"/>
    <w:multiLevelType w:val="hybridMultilevel"/>
    <w:tmpl w:val="795425B2"/>
    <w:lvl w:ilvl="0" w:tplc="95541E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10629"/>
    <w:multiLevelType w:val="multilevel"/>
    <w:tmpl w:val="E9DC61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3F8F0212"/>
    <w:multiLevelType w:val="hybridMultilevel"/>
    <w:tmpl w:val="306E3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45994A54"/>
    <w:multiLevelType w:val="hybridMultilevel"/>
    <w:tmpl w:val="6CE4F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A73F42"/>
    <w:multiLevelType w:val="hybridMultilevel"/>
    <w:tmpl w:val="4DF07588"/>
    <w:lvl w:ilvl="0" w:tplc="4FA4BE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981A0D"/>
    <w:multiLevelType w:val="hybridMultilevel"/>
    <w:tmpl w:val="22F6B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9A31205"/>
    <w:multiLevelType w:val="hybridMultilevel"/>
    <w:tmpl w:val="ED6E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8">
    <w:nsid w:val="68BB1E0A"/>
    <w:multiLevelType w:val="hybridMultilevel"/>
    <w:tmpl w:val="2CB22E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7A746F"/>
    <w:multiLevelType w:val="multilevel"/>
    <w:tmpl w:val="D4AC48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2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>
    <w:nsid w:val="7A420213"/>
    <w:multiLevelType w:val="hybridMultilevel"/>
    <w:tmpl w:val="8F4CC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B379CB"/>
    <w:multiLevelType w:val="hybridMultilevel"/>
    <w:tmpl w:val="706EC6F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CA34F11"/>
    <w:multiLevelType w:val="multilevel"/>
    <w:tmpl w:val="E356D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40"/>
  </w:num>
  <w:num w:numId="2">
    <w:abstractNumId w:val="42"/>
  </w:num>
  <w:num w:numId="3">
    <w:abstractNumId w:val="37"/>
  </w:num>
  <w:num w:numId="4">
    <w:abstractNumId w:val="17"/>
  </w:num>
  <w:num w:numId="5">
    <w:abstractNumId w:val="47"/>
  </w:num>
  <w:num w:numId="6">
    <w:abstractNumId w:val="22"/>
  </w:num>
  <w:num w:numId="7">
    <w:abstractNumId w:val="9"/>
  </w:num>
  <w:num w:numId="8">
    <w:abstractNumId w:val="16"/>
  </w:num>
  <w:num w:numId="9">
    <w:abstractNumId w:val="29"/>
  </w:num>
  <w:num w:numId="10">
    <w:abstractNumId w:val="2"/>
  </w:num>
  <w:num w:numId="11">
    <w:abstractNumId w:val="1"/>
  </w:num>
  <w:num w:numId="12">
    <w:abstractNumId w:val="19"/>
  </w:num>
  <w:num w:numId="13">
    <w:abstractNumId w:val="35"/>
  </w:num>
  <w:num w:numId="14">
    <w:abstractNumId w:val="15"/>
  </w:num>
  <w:num w:numId="15">
    <w:abstractNumId w:val="7"/>
  </w:num>
  <w:num w:numId="16">
    <w:abstractNumId w:val="46"/>
  </w:num>
  <w:num w:numId="17">
    <w:abstractNumId w:val="12"/>
  </w:num>
  <w:num w:numId="18">
    <w:abstractNumId w:val="23"/>
  </w:num>
  <w:num w:numId="19">
    <w:abstractNumId w:val="10"/>
  </w:num>
  <w:num w:numId="20">
    <w:abstractNumId w:val="6"/>
  </w:num>
  <w:num w:numId="21">
    <w:abstractNumId w:val="32"/>
  </w:num>
  <w:num w:numId="22">
    <w:abstractNumId w:val="41"/>
  </w:num>
  <w:num w:numId="23">
    <w:abstractNumId w:val="34"/>
  </w:num>
  <w:num w:numId="24">
    <w:abstractNumId w:val="0"/>
  </w:num>
  <w:num w:numId="25">
    <w:abstractNumId w:val="44"/>
  </w:num>
  <w:num w:numId="26">
    <w:abstractNumId w:val="27"/>
  </w:num>
  <w:num w:numId="27">
    <w:abstractNumId w:val="20"/>
  </w:num>
  <w:num w:numId="28">
    <w:abstractNumId w:val="13"/>
  </w:num>
  <w:num w:numId="29">
    <w:abstractNumId w:val="25"/>
  </w:num>
  <w:num w:numId="30">
    <w:abstractNumId w:val="43"/>
  </w:num>
  <w:num w:numId="31">
    <w:abstractNumId w:val="3"/>
  </w:num>
  <w:num w:numId="32">
    <w:abstractNumId w:val="21"/>
  </w:num>
  <w:num w:numId="33">
    <w:abstractNumId w:val="31"/>
  </w:num>
  <w:num w:numId="34">
    <w:abstractNumId w:val="45"/>
  </w:num>
  <w:num w:numId="35">
    <w:abstractNumId w:val="8"/>
  </w:num>
  <w:num w:numId="36">
    <w:abstractNumId w:val="36"/>
  </w:num>
  <w:num w:numId="37">
    <w:abstractNumId w:val="33"/>
  </w:num>
  <w:num w:numId="38">
    <w:abstractNumId w:val="11"/>
  </w:num>
  <w:num w:numId="39">
    <w:abstractNumId w:val="18"/>
  </w:num>
  <w:num w:numId="40">
    <w:abstractNumId w:val="14"/>
  </w:num>
  <w:num w:numId="41">
    <w:abstractNumId w:val="39"/>
  </w:num>
  <w:num w:numId="42">
    <w:abstractNumId w:val="24"/>
  </w:num>
  <w:num w:numId="43">
    <w:abstractNumId w:val="30"/>
  </w:num>
  <w:num w:numId="44">
    <w:abstractNumId w:val="28"/>
  </w:num>
  <w:num w:numId="45">
    <w:abstractNumId w:val="26"/>
  </w:num>
  <w:num w:numId="46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Zakupki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6F289E1-7D85-417A-9B13-6DD99483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23</Pages>
  <Words>7386</Words>
  <Characters>42103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49391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35</cp:revision>
  <cp:lastPrinted>2016-10-03T13:41:00Z</cp:lastPrinted>
  <dcterms:created xsi:type="dcterms:W3CDTF">2016-08-12T13:19:00Z</dcterms:created>
  <dcterms:modified xsi:type="dcterms:W3CDTF">2016-10-03T13:41:00Z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